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A3DBC" w:rsidRDefault="00FF7768" w:rsidP="00937CB8">
      <w:pPr>
        <w:pStyle w:val="Heading1"/>
        <w:spacing w:after="0" w:line="240" w:lineRule="auto"/>
        <w:ind w:left="136" w:hanging="11"/>
      </w:pPr>
      <w:r>
        <w:t>EKSPLORASI DAMPAK SIKAP RAMAH LINGKUNGAN TERHADAP ADOPSI KENDARAAN LISTRIK UNTUK MASA DEPAN YANG BERKELANJUTAN</w:t>
      </w:r>
    </w:p>
    <w:p w:rsidR="00937CB8" w:rsidRDefault="00937CB8" w:rsidP="007B00F4">
      <w:pPr>
        <w:pStyle w:val="Heading2"/>
      </w:pPr>
    </w:p>
    <w:p w:rsidR="000A3DBC" w:rsidRDefault="00FF7768" w:rsidP="007B00F4">
      <w:pPr>
        <w:pStyle w:val="Heading2"/>
      </w:pPr>
      <w:r>
        <w:t>Yenni Mangoting, Rovelyn Glorya Keren Tangkulung dan Nadia Marleen Manduapessy</w:t>
      </w:r>
    </w:p>
    <w:p w:rsidR="000A3DBC" w:rsidRDefault="00FF7768" w:rsidP="007B00F4">
      <w:pPr>
        <w:spacing w:line="239" w:lineRule="auto"/>
        <w:ind w:left="910" w:right="299" w:hanging="521"/>
        <w:jc w:val="center"/>
      </w:pPr>
      <w:r>
        <w:t xml:space="preserve">Tax Accounting Program, School of Business and Management, Universitas Kristen Petra Corresponding author: </w:t>
      </w:r>
      <w:r>
        <w:rPr>
          <w:color w:val="0000FF"/>
          <w:u w:val="single" w:color="0000FF"/>
        </w:rPr>
        <w:t>yenni@petra.ac.id</w:t>
      </w:r>
      <w:r>
        <w:t xml:space="preserve">, </w:t>
      </w:r>
      <w:r>
        <w:rPr>
          <w:color w:val="0000FF"/>
          <w:u w:val="single" w:color="0000FF"/>
        </w:rPr>
        <w:t>d12200156@john.petra.ac.id</w:t>
      </w:r>
      <w:r>
        <w:t xml:space="preserve"> dan </w:t>
      </w:r>
      <w:r>
        <w:rPr>
          <w:color w:val="0000FF"/>
          <w:u w:val="single" w:color="0000FF"/>
        </w:rPr>
        <w:t>d12200171@john.petra.ac.id</w:t>
      </w:r>
    </w:p>
    <w:p w:rsidR="000A3DBC" w:rsidRDefault="00FF7768">
      <w:pPr>
        <w:spacing w:after="123" w:line="259" w:lineRule="auto"/>
        <w:ind w:left="660" w:right="0" w:firstLine="0"/>
        <w:jc w:val="left"/>
      </w:pPr>
      <w:r>
        <w:rPr>
          <w:b/>
          <w:sz w:val="24"/>
        </w:rPr>
        <w:t xml:space="preserve"> </w:t>
      </w:r>
    </w:p>
    <w:p w:rsidR="000A3DBC" w:rsidRDefault="00FF7768">
      <w:pPr>
        <w:pStyle w:val="Heading1"/>
        <w:spacing w:after="344"/>
        <w:ind w:left="-5"/>
        <w:jc w:val="left"/>
      </w:pPr>
      <w:r>
        <w:t xml:space="preserve">ABSTRAK </w:t>
      </w:r>
    </w:p>
    <w:p w:rsidR="000A3DBC" w:rsidRDefault="00FF7768">
      <w:pPr>
        <w:spacing w:line="239" w:lineRule="auto"/>
        <w:ind w:left="-5" w:right="299"/>
      </w:pPr>
      <w:r>
        <w:t xml:space="preserve">Penelitian ini menganalisis pengaruh </w:t>
      </w:r>
      <w:r>
        <w:rPr>
          <w:i/>
        </w:rPr>
        <w:t>Tax and Financial Incentive Policies</w:t>
      </w:r>
      <w:r>
        <w:t xml:space="preserve">, dan </w:t>
      </w:r>
      <w:r>
        <w:rPr>
          <w:i/>
        </w:rPr>
        <w:t xml:space="preserve">Green Attitude </w:t>
      </w:r>
      <w:r>
        <w:t xml:space="preserve">terhadap </w:t>
      </w:r>
      <w:r>
        <w:rPr>
          <w:i/>
        </w:rPr>
        <w:t>Willingness to Purchase</w:t>
      </w:r>
      <w:r>
        <w:t xml:space="preserve">, serta menguji peran </w:t>
      </w:r>
      <w:r>
        <w:rPr>
          <w:i/>
        </w:rPr>
        <w:t xml:space="preserve">Green Attitude </w:t>
      </w:r>
      <w:r>
        <w:t xml:space="preserve">sebagai variabel mediasi dalam konteks adopsi kendaraan listrik. Sampel penelitian terdiri dari 201 responden yang dipilih secara acak dari berbagai wilayah di Indonesia. Data dikumpulkan melalui kuesioner online menggunakan </w:t>
      </w:r>
      <w:r>
        <w:rPr>
          <w:i/>
        </w:rPr>
        <w:t xml:space="preserve">Google Form </w:t>
      </w:r>
      <w:r>
        <w:t xml:space="preserve">dan dianalisis dengan metode </w:t>
      </w:r>
      <w:r>
        <w:rPr>
          <w:i/>
        </w:rPr>
        <w:t xml:space="preserve">Partial Least Squares Structural Equation Modeling </w:t>
      </w:r>
      <w:r>
        <w:t xml:space="preserve">(PLS-SEM). Temuan penelitian menunjukkan bahwa </w:t>
      </w:r>
      <w:r>
        <w:rPr>
          <w:i/>
        </w:rPr>
        <w:t xml:space="preserve">Tax and Financial Incentive Policies </w:t>
      </w:r>
      <w:r>
        <w:t xml:space="preserve">memiliki pengaruh signifikan baik terhadap </w:t>
      </w:r>
      <w:r>
        <w:rPr>
          <w:i/>
        </w:rPr>
        <w:t xml:space="preserve">Green Attitude </w:t>
      </w:r>
      <w:r>
        <w:t xml:space="preserve">maupun terhadap </w:t>
      </w:r>
      <w:r>
        <w:rPr>
          <w:i/>
        </w:rPr>
        <w:t xml:space="preserve">Willingness to Purchase </w:t>
      </w:r>
      <w:r>
        <w:t xml:space="preserve">secara langsung. Selain itu, </w:t>
      </w:r>
      <w:r>
        <w:rPr>
          <w:i/>
        </w:rPr>
        <w:t xml:space="preserve">Green Attitude </w:t>
      </w:r>
      <w:r>
        <w:t xml:space="preserve">berperan sebagai mediator parsial, menghubungkan pengaruh </w:t>
      </w:r>
      <w:r>
        <w:rPr>
          <w:i/>
        </w:rPr>
        <w:t xml:space="preserve">Tax and Financial Incentive Policies </w:t>
      </w:r>
      <w:r>
        <w:t xml:space="preserve">terhadap </w:t>
      </w:r>
      <w:r>
        <w:rPr>
          <w:i/>
        </w:rPr>
        <w:t>Willingness to Purchase</w:t>
      </w:r>
      <w:r>
        <w:t xml:space="preserve">. Implikasi dari hasil penelitian ini menunjukkan bahwa untuk meningkatkan adopsi kendaraan listrik, kebijakan insentif dan subsidi perlu dipertahankan untuk mengurangi ketidakpastian dan memberikan kepastian mengenai manfaat pembelian kendaraan listrik. </w:t>
      </w:r>
    </w:p>
    <w:p w:rsidR="000A3DBC" w:rsidRDefault="00FF7768">
      <w:pPr>
        <w:spacing w:after="245" w:line="259" w:lineRule="auto"/>
        <w:ind w:left="0" w:right="0" w:firstLine="0"/>
        <w:jc w:val="left"/>
      </w:pPr>
      <w:r>
        <w:t xml:space="preserve"> </w:t>
      </w:r>
    </w:p>
    <w:p w:rsidR="000A3DBC" w:rsidRDefault="00FF7768">
      <w:pPr>
        <w:spacing w:line="239" w:lineRule="auto"/>
        <w:ind w:left="-5" w:right="299"/>
      </w:pPr>
      <w:r w:rsidRPr="00937CB8">
        <w:rPr>
          <w:b/>
        </w:rPr>
        <w:t xml:space="preserve">Kata </w:t>
      </w:r>
      <w:proofErr w:type="gramStart"/>
      <w:r w:rsidRPr="00937CB8">
        <w:rPr>
          <w:b/>
        </w:rPr>
        <w:t>Kunci</w:t>
      </w:r>
      <w:r>
        <w:t xml:space="preserve"> :</w:t>
      </w:r>
      <w:proofErr w:type="gramEnd"/>
      <w:r>
        <w:t xml:space="preserve"> Kendaraan Listrik, Insentif Finansial, Sikap Ramah Lingkungan, Insentif Pajak, Keinginan untuk membeli </w:t>
      </w:r>
    </w:p>
    <w:p w:rsidR="000A3DBC" w:rsidRDefault="00FF7768">
      <w:pPr>
        <w:spacing w:after="0" w:line="259" w:lineRule="auto"/>
        <w:ind w:left="0" w:right="0" w:firstLine="0"/>
        <w:jc w:val="left"/>
      </w:pPr>
      <w:r>
        <w:rPr>
          <w:sz w:val="24"/>
        </w:rPr>
        <w:t xml:space="preserve"> </w:t>
      </w:r>
    </w:p>
    <w:p w:rsidR="000A3DBC" w:rsidRDefault="00FF7768">
      <w:pPr>
        <w:pStyle w:val="Heading1"/>
        <w:spacing w:after="123"/>
        <w:ind w:left="-5"/>
        <w:jc w:val="left"/>
      </w:pPr>
      <w:r>
        <w:t xml:space="preserve">ABSTRACT </w:t>
      </w:r>
    </w:p>
    <w:p w:rsidR="000A3DBC" w:rsidRDefault="00FF7768">
      <w:pPr>
        <w:spacing w:line="239" w:lineRule="auto"/>
        <w:ind w:left="-5" w:right="299"/>
      </w:pPr>
      <w:r>
        <w:t xml:space="preserve">This study analyzes the impact of Tax and Financial Incentive Policies and Green Attitude on Willingness to Purchase and examines the role of Green Attitude as a mediating variable in the context of electric vehicle adoption. The research sample consists of 201 respondents randomly selected from various regions in Indonesia. Data were collected through an online questionnaire using Google Forms and analyzed using Partial Least Squares Structural Equation Modeling (PLS-SEM). The findings indicate that Tax and Financial Incentive Policies have a significant positive direct effect on Green Attitude and Willingness to Purchase. Additionally, Green Attitude acts as a partial mediator, linking the effects of Tax and Financial Incentive Policies to Willingness to Purchase. The implications of these findings suggest that, to enhance electric vehicle adoption, incentive and subsidy policies should be maintained to reduce uncertainty and provide assurance regarding the benefits of purchasing electric vehicles. </w:t>
      </w:r>
    </w:p>
    <w:p w:rsidR="000A3DBC" w:rsidRDefault="00FF7768">
      <w:pPr>
        <w:spacing w:after="218" w:line="259" w:lineRule="auto"/>
        <w:ind w:left="0" w:right="0" w:firstLine="0"/>
        <w:jc w:val="left"/>
      </w:pPr>
      <w:r>
        <w:t xml:space="preserve"> </w:t>
      </w:r>
    </w:p>
    <w:p w:rsidR="000A3DBC" w:rsidRDefault="00FF7768">
      <w:pPr>
        <w:spacing w:line="237" w:lineRule="auto"/>
        <w:ind w:left="-5" w:right="299"/>
      </w:pPr>
      <w:r>
        <w:rPr>
          <w:b/>
        </w:rPr>
        <w:t>Keywords</w:t>
      </w:r>
      <w:r>
        <w:t xml:space="preserve">: Electric Vehicle, Financial Incentive, Green Attitude, Tax Incentive, Willingness to Purchase </w:t>
      </w:r>
    </w:p>
    <w:p w:rsidR="000A3DBC" w:rsidRDefault="00FF7768">
      <w:pPr>
        <w:spacing w:after="0" w:line="259" w:lineRule="auto"/>
        <w:ind w:left="0" w:right="0" w:firstLine="0"/>
        <w:jc w:val="left"/>
      </w:pPr>
      <w:r>
        <w:rPr>
          <w:sz w:val="24"/>
        </w:rPr>
        <w:t xml:space="preserve"> </w:t>
      </w:r>
    </w:p>
    <w:p w:rsidR="000A3DBC" w:rsidRDefault="00FF7768">
      <w:pPr>
        <w:spacing w:after="0" w:line="259" w:lineRule="auto"/>
        <w:ind w:left="0" w:right="0" w:firstLine="0"/>
        <w:jc w:val="left"/>
      </w:pPr>
      <w:r>
        <w:rPr>
          <w:sz w:val="24"/>
        </w:rPr>
        <w:t xml:space="preserve"> </w:t>
      </w:r>
    </w:p>
    <w:p w:rsidR="000A3DBC" w:rsidRDefault="00FF7768">
      <w:pPr>
        <w:spacing w:after="0" w:line="259" w:lineRule="auto"/>
        <w:ind w:left="0" w:right="0" w:firstLine="0"/>
        <w:jc w:val="left"/>
      </w:pPr>
      <w:r>
        <w:rPr>
          <w:sz w:val="24"/>
        </w:rPr>
        <w:t xml:space="preserve"> </w:t>
      </w:r>
    </w:p>
    <w:p w:rsidR="000A3DBC" w:rsidRDefault="00FF7768">
      <w:pPr>
        <w:spacing w:after="0" w:line="259" w:lineRule="auto"/>
        <w:ind w:left="0" w:right="0" w:firstLine="0"/>
        <w:jc w:val="left"/>
      </w:pPr>
      <w:r>
        <w:rPr>
          <w:sz w:val="24"/>
        </w:rPr>
        <w:lastRenderedPageBreak/>
        <w:t xml:space="preserve"> </w:t>
      </w:r>
    </w:p>
    <w:p w:rsidR="000A3DBC" w:rsidRDefault="00FF7768" w:rsidP="00937CB8">
      <w:pPr>
        <w:pStyle w:val="Heading1"/>
        <w:spacing w:after="0" w:line="360" w:lineRule="auto"/>
        <w:ind w:left="0" w:right="225"/>
        <w:jc w:val="left"/>
      </w:pPr>
      <w:r>
        <w:t xml:space="preserve">PENDAHULUAN </w:t>
      </w:r>
    </w:p>
    <w:p w:rsidR="000A3DBC" w:rsidRDefault="00FF7768" w:rsidP="00533D1D">
      <w:pPr>
        <w:spacing w:after="0" w:line="360" w:lineRule="auto"/>
        <w:ind w:left="0" w:right="0" w:firstLine="0"/>
      </w:pPr>
      <w:r>
        <w:rPr>
          <w:sz w:val="24"/>
        </w:rPr>
        <w:t xml:space="preserve"> </w:t>
      </w:r>
      <w:r w:rsidR="00533D1D">
        <w:rPr>
          <w:sz w:val="24"/>
        </w:rPr>
        <w:tab/>
      </w:r>
      <w:r>
        <w:t xml:space="preserve">Dalam beberapa tahun terakhir, dunia telah menyaksikan perubahan signifikan dalam pola konsumsi energi dan preferensi transportasi, yang sebagian besar dipicu oleh kesadaran yang meningkat terhadap isu-isu lingkungan dan berkelanjutan. Masalah berkelanjutan lingkungan yang serius, termasuk polusi udara, air dan tanah, pemanasan global dan pembuangan limbah merupakan akibat dari tingkat konsumsi yang tidak berkelanjutan secara global, yang menyebabkan masyarakat mengubah dan menyesuaikan pola tradisional mereka dalam hal pembelian dan konsumsi produk dan layanan serta perilaku konsumsi konvensional menuju kepentingan yang lebih besar dalam keberlanjutan lingkungan (Vu et al., 2022). Salah satu manifestasi paling jelas dari tren ini adalah meningkatnya minat terhadap kendaraan listrik (EV). Perspektif kritis dan ekonomis dalam penelitian Ferraro et al. (2016) melatarbelakangi konsumen melakukan pembelian barang bekas. Konsumen berpikir etis bahwa menggunakan barang bekas melawan pemborosan. Selain itu barang bekas untuk konsumen tertentu dianggap meringankan tekanan finansial. Perspektif etis juga mendasari keputusan konsumen membeli barang bekas. Mereka mempertimbangkan bahwa niat mereka berkontribusi dalam memecahkan masalah lingkungan hidup (Park &amp; Lin, 2020). Keinginan untuk mendapatkan produk yang ramah lingkungan juga dibuktikan dalam penelitian (Vu et al., 2022). Dalam penelitian tersebut dijelaskan bahwa kepedulian terhadap lingkungan mempengaruhi niat pembelian produk ramah lingkungan. Penelitian ini juga menggabungkan peran sikap konsumen terhadap produk ramah lingkungan. Pandangan publik yang meyakini bahwa hal ini akan memberikan manfaat bagi masyarakat secara keseluruhan dengan melestarikan lingkungan, dan memberikan dorongan ekonomi melalui investasi pada ramah lingkungan (Kusumawardhani et al., 2024). Hal tersebut dilatarbelakangi oleh pentingnya memberikan bukti empiris yang menganggap sikap terhadap penggunaan produk yang ramah lingkungan sebagai variabel mediasi antara insentif perpajakan terhadap niat membeli kendaraan listrik. Sikap positif terhadap produk berkelanjutan merupakan titik awal untuk merangsang konsumsi berkelanjutan mengingat sikap yang baik merupakan prediktor yang baik untuk terlibat dalam perilaku tertentu. Ini adalah salah satu kontribusi empiris penting dari penelitian ini karena menawarkan penjelasan yang lebih bernuansa tentang esensi sikap sebagai variabel mediator. </w:t>
      </w:r>
    </w:p>
    <w:p w:rsidR="000A3DBC" w:rsidRDefault="00FF7768" w:rsidP="00533D1D">
      <w:pPr>
        <w:ind w:left="-15" w:right="-1" w:firstLine="360"/>
      </w:pPr>
      <w:r>
        <w:t xml:space="preserve">Kebijakan insentif pajak dan keuangan adalah strategi yang diterapkan oleh pemerintah atau lembaga yang berwenang untuk mempengaruhi perilaku ekonomi melalui manfaat finansial atau pengurangan beban pajak. Tujuan dari kebijakan insentif ini adalah untuk mempercepat </w:t>
      </w:r>
      <w:r>
        <w:lastRenderedPageBreak/>
        <w:t xml:space="preserve">adopsi kendaraan listrik secara luas, mengingat kendaraan listrik sebagai produk inovatif, seringkali memiliki harga yang lebih tinggi dibandingkan dengan kendaraan berbahan bakar fosil (Lieven et al., 2011). Untuk mengatasi tantangan tersebut, pemerintah menerapkan kebijakan insentif ini yang dirancang untuk menurunkan biaya pembelian dalam penggunaan kendaraan listrik. Untuk menanggapi penerapan tersebut, pemerintah mengeluarkan Undang-Undang Nomor 7 Tahun 2021 tentang Harmonisasi Regulasi Perpajakan, meskipun penerapannya saat ini masih terbatas pada PLTU (Mangoting et al., 2023). Dukungan finansial dari pemerintah yang mengurangi harga awal kendaraan listrik dapat meningkatkan manfaat pemerintah yang mengurangi harga awal kendaraan listrik dapat meningkatkan manfaat ekonomi yang dirasakan </w:t>
      </w:r>
      <w:proofErr w:type="gramStart"/>
      <w:r>
        <w:t>konsumen  (</w:t>
      </w:r>
      <w:proofErr w:type="gramEnd"/>
      <w:r>
        <w:t xml:space="preserve">Zhang et al., 2018), serta mempengaruhi sikap mereka terhadap produk ramah lingkungan. Pengaruh dukungan pemerintah terhadap sikap konsumen sudah pernah dibuktikan dalam penelitian terdahulu dari konsep yang berbeda dalam hal ini sikap turis (Wang et </w:t>
      </w:r>
      <w:proofErr w:type="gramStart"/>
      <w:r>
        <w:t>al,.</w:t>
      </w:r>
      <w:proofErr w:type="gramEnd"/>
      <w:r>
        <w:t xml:space="preserve"> 2021). Keinginan untuk melakukan pembelian dipengaruhi oleh berbagai faktor, seperti yang diidentifikasi dalam berbagai penelitian sebelumnya (Shakeel, 2022; Ansab &amp; Kumar, 2022; Hu et al., 2023; Xue et al., 2023). Faktor-faktor tersebut dapat diklasifikasikan dalam dua kategori utama: (1) </w:t>
      </w:r>
      <w:r>
        <w:rPr>
          <w:i/>
        </w:rPr>
        <w:t>Financial Incentive Policies</w:t>
      </w:r>
      <w:r>
        <w:t xml:space="preserve">, </w:t>
      </w:r>
      <w:r>
        <w:rPr>
          <w:i/>
        </w:rPr>
        <w:t>Tax Incentive Policies</w:t>
      </w:r>
      <w:r>
        <w:t xml:space="preserve">, </w:t>
      </w:r>
      <w:r>
        <w:rPr>
          <w:i/>
        </w:rPr>
        <w:t>Information Policy</w:t>
      </w:r>
      <w:r>
        <w:t xml:space="preserve">, &amp; </w:t>
      </w:r>
      <w:r>
        <w:rPr>
          <w:i/>
        </w:rPr>
        <w:t>Convenience Policy</w:t>
      </w:r>
      <w:r>
        <w:t xml:space="preserve">, (2) </w:t>
      </w:r>
      <w:r>
        <w:rPr>
          <w:i/>
        </w:rPr>
        <w:t>Attitude</w:t>
      </w:r>
      <w:r>
        <w:t xml:space="preserve">, </w:t>
      </w:r>
      <w:r>
        <w:rPr>
          <w:i/>
        </w:rPr>
        <w:t>Subject Norm</w:t>
      </w:r>
      <w:r>
        <w:t xml:space="preserve">, dan </w:t>
      </w:r>
      <w:r>
        <w:rPr>
          <w:i/>
        </w:rPr>
        <w:t>Behavior.</w:t>
      </w:r>
      <w:r>
        <w:t xml:space="preserve"> </w:t>
      </w:r>
    </w:p>
    <w:p w:rsidR="000A3DBC" w:rsidRDefault="00FF7768" w:rsidP="00533D1D">
      <w:pPr>
        <w:ind w:left="-15" w:right="-1" w:firstLine="360"/>
      </w:pPr>
      <w:r>
        <w:t xml:space="preserve">Tingkat keinginan untuk membeli kendaraan listrik, yang dipengaruhi oleh berbagai faktor tersebut, tidak hanya penting bagi konsumen tetapi juga bagi pembuat kebijakan yang berupaya mendorong transisi dari kendaraan berbahan bakar fosil ke kendaraan listrik yang lebih ramah lingkungan. Memahami dan menangani faktor-faktor ini memberikan wawasan yang berharga bagi pembuat kebijakan untuk merumuskan strategi dan kebijakan yang efektif dalam mendukung percepatan adopsi kendaraan listrik secara lebih luas. </w:t>
      </w:r>
    </w:p>
    <w:p w:rsidR="000A3DBC" w:rsidRDefault="00FF7768" w:rsidP="00533D1D">
      <w:pPr>
        <w:ind w:left="-15" w:right="-1" w:firstLine="360"/>
      </w:pPr>
      <w:r>
        <w:t xml:space="preserve">Sikap merujuk pada pendapat atau perasaan yang membentuk sejauh mana seseorang merespons, menilai, atau berinteraksi dengan individu, objek, atau situasi tertentu. Sikap ramah lingkungan, dalam konteks ini, mencerminkan kecenderungan konsumen untuk memilih produk dan layanan yang dianggap berkelanjutan atau memiliki dampak lingkungan yang minimal. Sikap ini mencerminkan kesadaran konsumen terhadap dampak lingkungan dan menunjukkan kepedulian mereka terhadap permasalahan lingkungan. Kepedulian terhadap dampak lingkungan mempengaruhi tingkat kesadaran seseorang mengenai isu-isu lingkungan dan mendorong mereka untuk mencari solusi yang dapat mencegah kerusakan lingkungan. </w:t>
      </w:r>
    </w:p>
    <w:p w:rsidR="000A3DBC" w:rsidRDefault="00FF7768">
      <w:pPr>
        <w:spacing w:after="0" w:line="259" w:lineRule="auto"/>
        <w:ind w:left="0" w:right="0" w:firstLine="0"/>
        <w:jc w:val="left"/>
      </w:pPr>
      <w:r>
        <w:rPr>
          <w:sz w:val="24"/>
        </w:rPr>
        <w:t xml:space="preserve"> </w:t>
      </w:r>
    </w:p>
    <w:p w:rsidR="000A3DBC" w:rsidRDefault="00FF7768">
      <w:pPr>
        <w:pStyle w:val="Heading2"/>
        <w:spacing w:after="101"/>
        <w:ind w:left="0"/>
        <w:jc w:val="left"/>
      </w:pPr>
      <w:r>
        <w:rPr>
          <w:i/>
          <w:sz w:val="24"/>
        </w:rPr>
        <w:lastRenderedPageBreak/>
        <w:t xml:space="preserve">Value Belief Norm Theory </w:t>
      </w:r>
    </w:p>
    <w:p w:rsidR="000A3DBC" w:rsidRDefault="00FF7768">
      <w:pPr>
        <w:ind w:left="-15" w:right="299" w:firstLine="283"/>
      </w:pPr>
      <w:r>
        <w:t xml:space="preserve">Penelitian ini mengadopsi </w:t>
      </w:r>
      <w:r>
        <w:rPr>
          <w:i/>
        </w:rPr>
        <w:t xml:space="preserve">Value Belief Norm Theory </w:t>
      </w:r>
      <w:r>
        <w:t xml:space="preserve">yang dikembangkan oleh Stern, Dietz, dan Guagnano pada tahun 1999. Teori ini merupakan salah satu pendekatan yang paling banyak digunakan dalam studi mengenai perilaku ramah lingkungan dan prososial. Dalam konteks penelitian ini, sikap ramah lingkungan berfungsi sebagai norma pribadi yang mempengaruhi keputusan individu untuk membeli produk ramah lingkungan. Faktor eksternal seperti kebijakan insentif pajak dan keuangan berperan penting dalam memperkuat sikap ramah lingkungan. Kebijakan pajak dan keuangan memberikan dorongan ekonomi yang memotivasi individu untuk membeli produk ramah lingkungan, sementara gaya hidup dapat mempengaruhi keinginan untuk melakukan pembelian tersebut. Keinginan untuk membeli sebagai perilaku akhir, diprediksi melalui </w:t>
      </w:r>
      <w:r>
        <w:rPr>
          <w:i/>
        </w:rPr>
        <w:t xml:space="preserve">Value Belief Norm Theory </w:t>
      </w:r>
      <w:r>
        <w:t>dengan mempertimbangkan pengaruh dari kebijakan insentif pajak dan keuangan serta peran mediasi sikap ramah lingkungan dalam proses ini.</w:t>
      </w:r>
      <w:r>
        <w:rPr>
          <w:b/>
          <w:i/>
        </w:rPr>
        <w:t xml:space="preserve"> </w:t>
      </w:r>
    </w:p>
    <w:p w:rsidR="000A3DBC" w:rsidRDefault="00FF7768">
      <w:pPr>
        <w:ind w:left="-15" w:right="299" w:firstLine="283"/>
      </w:pPr>
      <w:r>
        <w:t xml:space="preserve">Berdasarkan teori </w:t>
      </w:r>
      <w:r>
        <w:rPr>
          <w:i/>
        </w:rPr>
        <w:t>Value Belief Norm</w:t>
      </w:r>
      <w:r>
        <w:t xml:space="preserve">, kebijakan insentif pajak dan keuangan memiliki pengaruh terhadap keinginan untuk membeli kendaraan listrik, sebagaimana diungkapkan oleh Xue et al. (2023). Penelitian ini bertujuan untuk menganalisis dampak positif dari kebijakan insentif pajak dan keuangan terhadap keinginan untuk membeli kendaraan listrik. Selain itu, penelitian ini juga mengeksplorasi bagaimana kebijakan pajak dan insentif keuangan berpengaruh positif terhadap sikap ramah lingkungan. </w:t>
      </w:r>
    </w:p>
    <w:p w:rsidR="000A3DBC" w:rsidRDefault="00FF7768">
      <w:pPr>
        <w:spacing w:after="164" w:line="259" w:lineRule="auto"/>
        <w:ind w:left="283" w:right="0" w:firstLine="0"/>
        <w:jc w:val="left"/>
      </w:pPr>
      <w:r>
        <w:rPr>
          <w:sz w:val="24"/>
        </w:rPr>
        <w:t xml:space="preserve"> </w:t>
      </w:r>
    </w:p>
    <w:p w:rsidR="000A3DBC" w:rsidRDefault="00FF7768">
      <w:pPr>
        <w:pStyle w:val="Heading1"/>
        <w:spacing w:after="0"/>
        <w:ind w:left="-5"/>
        <w:jc w:val="left"/>
      </w:pPr>
      <w:r>
        <w:t xml:space="preserve">Pengembagan Hipotesis </w:t>
      </w:r>
    </w:p>
    <w:p w:rsidR="000A3DBC" w:rsidRDefault="00FF7768">
      <w:pPr>
        <w:spacing w:after="194" w:line="259" w:lineRule="auto"/>
        <w:ind w:left="1206" w:right="0" w:firstLine="0"/>
        <w:jc w:val="left"/>
      </w:pPr>
      <w:r>
        <w:rPr>
          <w:noProof/>
        </w:rPr>
        <w:drawing>
          <wp:inline distT="0" distB="0" distL="0" distR="0">
            <wp:extent cx="3594100" cy="1779270"/>
            <wp:effectExtent l="0" t="0" r="0" b="0"/>
            <wp:docPr id="313" name="Picture 313"/>
            <wp:cNvGraphicFramePr/>
            <a:graphic xmlns:a="http://schemas.openxmlformats.org/drawingml/2006/main">
              <a:graphicData uri="http://schemas.openxmlformats.org/drawingml/2006/picture">
                <pic:pic xmlns:pic="http://schemas.openxmlformats.org/drawingml/2006/picture">
                  <pic:nvPicPr>
                    <pic:cNvPr id="313" name="Picture 313"/>
                    <pic:cNvPicPr/>
                  </pic:nvPicPr>
                  <pic:blipFill>
                    <a:blip r:embed="rId6"/>
                    <a:stretch>
                      <a:fillRect/>
                    </a:stretch>
                  </pic:blipFill>
                  <pic:spPr>
                    <a:xfrm>
                      <a:off x="0" y="0"/>
                      <a:ext cx="3594100" cy="1779270"/>
                    </a:xfrm>
                    <a:prstGeom prst="rect">
                      <a:avLst/>
                    </a:prstGeom>
                  </pic:spPr>
                </pic:pic>
              </a:graphicData>
            </a:graphic>
          </wp:inline>
        </w:drawing>
      </w:r>
    </w:p>
    <w:p w:rsidR="000A3DBC" w:rsidRDefault="00FF7768">
      <w:pPr>
        <w:spacing w:after="115" w:line="259" w:lineRule="auto"/>
        <w:ind w:left="0" w:right="304" w:firstLine="0"/>
        <w:jc w:val="center"/>
      </w:pPr>
      <w:r>
        <w:rPr>
          <w:b/>
        </w:rPr>
        <w:t>Gambar 1.</w:t>
      </w:r>
      <w:r>
        <w:t xml:space="preserve"> Kerangka Penelitian </w:t>
      </w:r>
    </w:p>
    <w:p w:rsidR="000A3DBC" w:rsidRDefault="00FF7768">
      <w:pPr>
        <w:ind w:left="-15" w:right="299" w:firstLine="720"/>
      </w:pPr>
      <w:r>
        <w:t xml:space="preserve">Berdasarkan kerangka yang ada pada Gambar 1, hipotesis dalam penelitian ini adalah sebagai berikut: (1) TP berpengaruh positif terhadap GA; (2) TP berpengaruh positif terhadap WP; (3) GA berpengaruh postif terhadap WP; dan (4) GA berpengaruh positif dalam memediasi hubungan antara TP dab WP. </w:t>
      </w:r>
    </w:p>
    <w:p w:rsidR="00533D1D" w:rsidRDefault="00FF7768" w:rsidP="00533D1D">
      <w:pPr>
        <w:pStyle w:val="Heading1"/>
        <w:spacing w:after="226"/>
        <w:ind w:left="0" w:right="659"/>
        <w:jc w:val="left"/>
        <w:rPr>
          <w:sz w:val="22"/>
        </w:rPr>
      </w:pPr>
      <w:r>
        <w:lastRenderedPageBreak/>
        <w:t>METODOLOGI PENELITIAN</w:t>
      </w:r>
      <w:r>
        <w:rPr>
          <w:sz w:val="22"/>
        </w:rPr>
        <w:t xml:space="preserve"> </w:t>
      </w:r>
    </w:p>
    <w:p w:rsidR="000A3DBC" w:rsidRDefault="00FF7768" w:rsidP="00533D1D">
      <w:pPr>
        <w:pStyle w:val="Heading1"/>
        <w:spacing w:after="226"/>
        <w:ind w:left="0" w:right="659"/>
        <w:jc w:val="left"/>
      </w:pPr>
      <w:r>
        <w:t xml:space="preserve">Pengumpulan Data dan Pengukuran Variabel </w:t>
      </w:r>
    </w:p>
    <w:p w:rsidR="000A3DBC" w:rsidRDefault="00FF7768">
      <w:pPr>
        <w:spacing w:after="123"/>
        <w:ind w:left="-15" w:right="230" w:firstLine="283"/>
      </w:pPr>
      <w:r>
        <w:t xml:space="preserve">Penelitian ini menggunakan kuesioner untuk menguji hipotesis. Data kuesioner dikumpulkan dalam kurun waktu kurang lebih satu bulan dari Agustus 20204 sampai September 2024 dari beberapa provinsi di Indonesia. Dengan satu pertanyaan yang menjadi penyaring yaitu “Apakah anda memiliki pengetahuan/pengalaman tentang Kendaraan Listrik?”. Kami menggunakan pertanyaan ini untuk memiliki jangkauan yang lebih jelas mengenai responden yang memahami kendaraan listrik. Dari 322 responden yang mengisi kuesioner, terdapat 201 responden yang memenuhi syarat untuk digunakan datanya dalam penelitian ini. </w:t>
      </w:r>
    </w:p>
    <w:p w:rsidR="000A3DBC" w:rsidRDefault="00FF7768">
      <w:pPr>
        <w:spacing w:after="123"/>
        <w:ind w:left="-15" w:right="231" w:firstLine="283"/>
      </w:pPr>
      <w:r>
        <w:t xml:space="preserve">Survey dilakukan secara online menggunakan Google Form dengan kuesioner sebagai instrumen penelitian utama. Pertanyaan dalam kuesioner ini diadaptasi dari beberapa penelitian terdahulu, yang terdapat pada Tabel 1. Semua pertanyaan dinilai dengan skala 5 poin dari 1 “Sangat Tidak Setuju” sampai 5 “Sangat Setuju”. </w:t>
      </w:r>
    </w:p>
    <w:p w:rsidR="000A3DBC" w:rsidRDefault="00FF7768" w:rsidP="007B00F4">
      <w:pPr>
        <w:spacing w:line="259" w:lineRule="auto"/>
        <w:ind w:left="0" w:right="299"/>
        <w:jc w:val="left"/>
      </w:pPr>
      <w:r>
        <w:rPr>
          <w:b/>
        </w:rPr>
        <w:t xml:space="preserve">Tabel 1. </w:t>
      </w:r>
      <w:r>
        <w:t>Operasionalisasi Variabel</w:t>
      </w:r>
    </w:p>
    <w:tbl>
      <w:tblPr>
        <w:tblStyle w:val="TableGrid"/>
        <w:tblW w:w="8366" w:type="dxa"/>
        <w:tblInd w:w="0" w:type="dxa"/>
        <w:tblCellMar>
          <w:top w:w="55" w:type="dxa"/>
          <w:left w:w="10" w:type="dxa"/>
          <w:right w:w="3" w:type="dxa"/>
        </w:tblCellMar>
        <w:tblLook w:val="04A0" w:firstRow="1" w:lastRow="0" w:firstColumn="1" w:lastColumn="0" w:noHBand="0" w:noVBand="1"/>
      </w:tblPr>
      <w:tblGrid>
        <w:gridCol w:w="2012"/>
        <w:gridCol w:w="4959"/>
        <w:gridCol w:w="1395"/>
      </w:tblGrid>
      <w:tr w:rsidR="000A3DBC">
        <w:trPr>
          <w:trHeight w:val="845"/>
        </w:trPr>
        <w:tc>
          <w:tcPr>
            <w:tcW w:w="2012"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240" w:right="0" w:firstLine="26"/>
              <w:jc w:val="left"/>
            </w:pPr>
            <w:r>
              <w:rPr>
                <w:b/>
              </w:rPr>
              <w:t xml:space="preserve">Referensi dan Variabel Laten </w:t>
            </w:r>
          </w:p>
        </w:tc>
        <w:tc>
          <w:tcPr>
            <w:tcW w:w="4959"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69" w:right="0" w:firstLine="0"/>
              <w:jc w:val="center"/>
            </w:pPr>
            <w:r>
              <w:rPr>
                <w:b/>
              </w:rPr>
              <w:t xml:space="preserve">Indikator </w:t>
            </w:r>
          </w:p>
        </w:tc>
        <w:tc>
          <w:tcPr>
            <w:tcW w:w="1395" w:type="dxa"/>
            <w:tcBorders>
              <w:top w:val="single" w:sz="8" w:space="0" w:color="000000"/>
              <w:left w:val="single" w:sz="8" w:space="0" w:color="000000"/>
              <w:bottom w:val="single" w:sz="8" w:space="0" w:color="000000"/>
              <w:right w:val="single" w:sz="8" w:space="0" w:color="000000"/>
            </w:tcBorders>
          </w:tcPr>
          <w:p w:rsidR="000A3DBC" w:rsidRDefault="00FF7768">
            <w:pPr>
              <w:spacing w:after="112" w:line="259" w:lineRule="auto"/>
              <w:ind w:left="0" w:right="41" w:firstLine="0"/>
              <w:jc w:val="center"/>
            </w:pPr>
            <w:r>
              <w:rPr>
                <w:b/>
              </w:rPr>
              <w:t xml:space="preserve">Loading </w:t>
            </w:r>
          </w:p>
          <w:p w:rsidR="000A3DBC" w:rsidRDefault="00FF7768">
            <w:pPr>
              <w:spacing w:after="0" w:line="259" w:lineRule="auto"/>
              <w:ind w:left="0" w:right="31" w:firstLine="0"/>
              <w:jc w:val="center"/>
            </w:pPr>
            <w:r>
              <w:rPr>
                <w:b/>
              </w:rPr>
              <w:t xml:space="preserve">Factor </w:t>
            </w:r>
          </w:p>
        </w:tc>
      </w:tr>
      <w:tr w:rsidR="000A3DBC">
        <w:trPr>
          <w:trHeight w:val="852"/>
        </w:trPr>
        <w:tc>
          <w:tcPr>
            <w:tcW w:w="2012" w:type="dxa"/>
            <w:vMerge w:val="restart"/>
            <w:tcBorders>
              <w:top w:val="single" w:sz="8" w:space="0" w:color="000000"/>
              <w:left w:val="single" w:sz="8" w:space="0" w:color="000000"/>
              <w:bottom w:val="single" w:sz="8" w:space="0" w:color="000000"/>
              <w:right w:val="single" w:sz="8" w:space="0" w:color="000000"/>
            </w:tcBorders>
          </w:tcPr>
          <w:p w:rsidR="000A3DBC" w:rsidRDefault="00FF7768">
            <w:pPr>
              <w:spacing w:after="112" w:line="259" w:lineRule="auto"/>
              <w:ind w:left="0" w:right="0" w:firstLine="0"/>
              <w:jc w:val="left"/>
            </w:pPr>
            <w:r>
              <w:t xml:space="preserve"> </w:t>
            </w:r>
          </w:p>
          <w:p w:rsidR="000A3DBC" w:rsidRDefault="00FF7768">
            <w:pPr>
              <w:spacing w:after="256" w:line="259" w:lineRule="auto"/>
              <w:ind w:left="0" w:right="0" w:firstLine="0"/>
              <w:jc w:val="left"/>
            </w:pPr>
            <w:r>
              <w:t xml:space="preserve"> </w:t>
            </w:r>
          </w:p>
          <w:p w:rsidR="000A3DBC" w:rsidRDefault="00FF7768">
            <w:pPr>
              <w:spacing w:after="110" w:line="259" w:lineRule="auto"/>
              <w:ind w:left="0" w:right="0" w:firstLine="0"/>
              <w:jc w:val="left"/>
            </w:pPr>
            <w:r>
              <w:t xml:space="preserve"> </w:t>
            </w:r>
          </w:p>
          <w:p w:rsidR="000A3DBC" w:rsidRDefault="00FF7768">
            <w:pPr>
              <w:spacing w:after="112" w:line="259" w:lineRule="auto"/>
              <w:ind w:left="14" w:right="0" w:firstLine="0"/>
              <w:jc w:val="left"/>
            </w:pPr>
            <w:r>
              <w:t xml:space="preserve">Tax and Financial </w:t>
            </w:r>
          </w:p>
          <w:p w:rsidR="000A3DBC" w:rsidRDefault="00FF7768">
            <w:pPr>
              <w:spacing w:after="112" w:line="259" w:lineRule="auto"/>
              <w:ind w:left="14" w:right="0" w:firstLine="0"/>
              <w:jc w:val="left"/>
            </w:pPr>
            <w:r>
              <w:t xml:space="preserve">Incentive Policies </w:t>
            </w:r>
          </w:p>
          <w:p w:rsidR="000A3DBC" w:rsidRDefault="00FF7768">
            <w:pPr>
              <w:spacing w:after="0" w:line="259" w:lineRule="auto"/>
              <w:ind w:left="14" w:right="0" w:firstLine="0"/>
              <w:jc w:val="left"/>
            </w:pPr>
            <w:r>
              <w:t xml:space="preserve">(TP), Ha et al. (2023) </w:t>
            </w:r>
          </w:p>
        </w:tc>
        <w:tc>
          <w:tcPr>
            <w:tcW w:w="4959"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2" w:right="0" w:firstLine="0"/>
              <w:jc w:val="left"/>
            </w:pPr>
            <w:r>
              <w:t xml:space="preserve">TP.1. Menurut saya kebijakan pembebasan pajak untuk mobil listrik itu bermanfaat. </w:t>
            </w:r>
          </w:p>
        </w:tc>
        <w:tc>
          <w:tcPr>
            <w:tcW w:w="1395"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74" w:right="0" w:firstLine="0"/>
              <w:jc w:val="center"/>
            </w:pPr>
            <w:r>
              <w:t xml:space="preserve">0,914 </w:t>
            </w:r>
          </w:p>
        </w:tc>
      </w:tr>
      <w:tr w:rsidR="000A3DBC">
        <w:trPr>
          <w:trHeight w:val="850"/>
        </w:trPr>
        <w:tc>
          <w:tcPr>
            <w:tcW w:w="0" w:type="auto"/>
            <w:vMerge/>
            <w:tcBorders>
              <w:top w:val="nil"/>
              <w:left w:val="single" w:sz="8" w:space="0" w:color="000000"/>
              <w:bottom w:val="nil"/>
              <w:right w:val="single" w:sz="8" w:space="0" w:color="000000"/>
            </w:tcBorders>
          </w:tcPr>
          <w:p w:rsidR="000A3DBC" w:rsidRDefault="000A3DBC">
            <w:pPr>
              <w:spacing w:after="160" w:line="259" w:lineRule="auto"/>
              <w:ind w:left="0" w:right="0" w:firstLine="0"/>
              <w:jc w:val="left"/>
            </w:pPr>
          </w:p>
        </w:tc>
        <w:tc>
          <w:tcPr>
            <w:tcW w:w="4959"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2" w:right="0" w:firstLine="0"/>
            </w:pPr>
            <w:r>
              <w:t xml:space="preserve">TP.2. Menurut saya kebijakan PPN 1% untuk mobil listrik itu bermanfaat. </w:t>
            </w:r>
          </w:p>
        </w:tc>
        <w:tc>
          <w:tcPr>
            <w:tcW w:w="1395"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74" w:right="0" w:firstLine="0"/>
              <w:jc w:val="center"/>
            </w:pPr>
            <w:r>
              <w:t xml:space="preserve">0,893 </w:t>
            </w:r>
          </w:p>
        </w:tc>
      </w:tr>
      <w:tr w:rsidR="000A3DBC">
        <w:trPr>
          <w:trHeight w:val="854"/>
        </w:trPr>
        <w:tc>
          <w:tcPr>
            <w:tcW w:w="0" w:type="auto"/>
            <w:vMerge/>
            <w:tcBorders>
              <w:top w:val="nil"/>
              <w:left w:val="single" w:sz="8" w:space="0" w:color="000000"/>
              <w:bottom w:val="nil"/>
              <w:right w:val="single" w:sz="8" w:space="0" w:color="000000"/>
            </w:tcBorders>
          </w:tcPr>
          <w:p w:rsidR="000A3DBC" w:rsidRDefault="000A3DBC">
            <w:pPr>
              <w:spacing w:after="160" w:line="259" w:lineRule="auto"/>
              <w:ind w:left="0" w:right="0" w:firstLine="0"/>
              <w:jc w:val="left"/>
            </w:pPr>
          </w:p>
        </w:tc>
        <w:tc>
          <w:tcPr>
            <w:tcW w:w="4959"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2" w:right="0" w:firstLine="0"/>
            </w:pPr>
            <w:r>
              <w:t xml:space="preserve">TP.3. Menurut saya subsidi untuk pembelian mobil listrik itu bermanfaat. </w:t>
            </w:r>
          </w:p>
        </w:tc>
        <w:tc>
          <w:tcPr>
            <w:tcW w:w="1395"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74" w:right="0" w:firstLine="0"/>
              <w:jc w:val="center"/>
            </w:pPr>
            <w:r>
              <w:t xml:space="preserve">0,902 </w:t>
            </w:r>
          </w:p>
        </w:tc>
      </w:tr>
      <w:tr w:rsidR="000A3DBC">
        <w:trPr>
          <w:trHeight w:val="860"/>
        </w:trPr>
        <w:tc>
          <w:tcPr>
            <w:tcW w:w="0" w:type="auto"/>
            <w:vMerge/>
            <w:tcBorders>
              <w:top w:val="nil"/>
              <w:left w:val="single" w:sz="8" w:space="0" w:color="000000"/>
              <w:bottom w:val="single" w:sz="8" w:space="0" w:color="000000"/>
              <w:right w:val="single" w:sz="8" w:space="0" w:color="000000"/>
            </w:tcBorders>
          </w:tcPr>
          <w:p w:rsidR="000A3DBC" w:rsidRDefault="000A3DBC">
            <w:pPr>
              <w:spacing w:after="160" w:line="259" w:lineRule="auto"/>
              <w:ind w:left="0" w:right="0" w:firstLine="0"/>
              <w:jc w:val="left"/>
            </w:pPr>
          </w:p>
        </w:tc>
        <w:tc>
          <w:tcPr>
            <w:tcW w:w="4959"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2" w:right="0" w:firstLine="0"/>
              <w:jc w:val="left"/>
            </w:pPr>
            <w:r>
              <w:t xml:space="preserve">TP.4. Menurut saya subsidi untuk pembelian impor mobil listrik itu bermanfaat. </w:t>
            </w:r>
          </w:p>
        </w:tc>
        <w:tc>
          <w:tcPr>
            <w:tcW w:w="1395"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74" w:right="0" w:firstLine="0"/>
              <w:jc w:val="center"/>
            </w:pPr>
            <w:r>
              <w:t xml:space="preserve">0,877 </w:t>
            </w:r>
          </w:p>
        </w:tc>
      </w:tr>
      <w:tr w:rsidR="000A3DBC">
        <w:trPr>
          <w:trHeight w:val="499"/>
        </w:trPr>
        <w:tc>
          <w:tcPr>
            <w:tcW w:w="2012" w:type="dxa"/>
            <w:vMerge w:val="restart"/>
            <w:tcBorders>
              <w:top w:val="single" w:sz="8" w:space="0" w:color="000000"/>
              <w:left w:val="single" w:sz="8" w:space="0" w:color="000000"/>
              <w:bottom w:val="single" w:sz="8" w:space="0" w:color="000000"/>
              <w:right w:val="single" w:sz="8" w:space="0" w:color="000000"/>
            </w:tcBorders>
            <w:vAlign w:val="center"/>
          </w:tcPr>
          <w:p w:rsidR="000A3DBC" w:rsidRDefault="00FF7768">
            <w:pPr>
              <w:spacing w:after="112" w:line="259" w:lineRule="auto"/>
              <w:ind w:left="0" w:right="0" w:firstLine="0"/>
              <w:jc w:val="left"/>
            </w:pPr>
            <w:r>
              <w:t xml:space="preserve"> </w:t>
            </w:r>
          </w:p>
          <w:p w:rsidR="000A3DBC" w:rsidRDefault="00FF7768">
            <w:pPr>
              <w:spacing w:after="112" w:line="259" w:lineRule="auto"/>
              <w:ind w:left="14" w:right="0" w:firstLine="0"/>
              <w:jc w:val="left"/>
            </w:pPr>
            <w:r>
              <w:t xml:space="preserve">Green Attitude </w:t>
            </w:r>
          </w:p>
          <w:p w:rsidR="000A3DBC" w:rsidRDefault="00FF7768">
            <w:pPr>
              <w:spacing w:after="110" w:line="259" w:lineRule="auto"/>
              <w:ind w:left="14" w:right="0" w:firstLine="0"/>
              <w:jc w:val="left"/>
            </w:pPr>
            <w:r>
              <w:t xml:space="preserve">(GA), Tanwir dan </w:t>
            </w:r>
          </w:p>
          <w:p w:rsidR="000A3DBC" w:rsidRDefault="00FF7768">
            <w:pPr>
              <w:spacing w:after="0" w:line="259" w:lineRule="auto"/>
              <w:ind w:left="14" w:right="0" w:firstLine="0"/>
              <w:jc w:val="left"/>
            </w:pPr>
            <w:r>
              <w:t xml:space="preserve">Hamzah (2020) </w:t>
            </w:r>
          </w:p>
        </w:tc>
        <w:tc>
          <w:tcPr>
            <w:tcW w:w="4959"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2" w:right="0" w:firstLine="0"/>
              <w:jc w:val="left"/>
            </w:pPr>
            <w:r>
              <w:t xml:space="preserve">GA.1. Membeli mobil listrik ide yang bagus. </w:t>
            </w:r>
          </w:p>
        </w:tc>
        <w:tc>
          <w:tcPr>
            <w:tcW w:w="1395"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74" w:right="0" w:firstLine="0"/>
              <w:jc w:val="center"/>
            </w:pPr>
            <w:r>
              <w:t xml:space="preserve">0,898 </w:t>
            </w:r>
          </w:p>
        </w:tc>
      </w:tr>
      <w:tr w:rsidR="000A3DBC">
        <w:trPr>
          <w:trHeight w:val="518"/>
        </w:trPr>
        <w:tc>
          <w:tcPr>
            <w:tcW w:w="0" w:type="auto"/>
            <w:vMerge/>
            <w:tcBorders>
              <w:top w:val="nil"/>
              <w:left w:val="single" w:sz="8" w:space="0" w:color="000000"/>
              <w:bottom w:val="nil"/>
              <w:right w:val="single" w:sz="8" w:space="0" w:color="000000"/>
            </w:tcBorders>
          </w:tcPr>
          <w:p w:rsidR="000A3DBC" w:rsidRDefault="000A3DBC">
            <w:pPr>
              <w:spacing w:after="160" w:line="259" w:lineRule="auto"/>
              <w:ind w:left="0" w:right="0" w:firstLine="0"/>
              <w:jc w:val="left"/>
            </w:pPr>
          </w:p>
        </w:tc>
        <w:tc>
          <w:tcPr>
            <w:tcW w:w="4959"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2" w:right="0" w:firstLine="0"/>
              <w:jc w:val="left"/>
            </w:pPr>
            <w:r>
              <w:t xml:space="preserve">GA.2. Membeli mobil listrik bermanfaat. </w:t>
            </w:r>
          </w:p>
        </w:tc>
        <w:tc>
          <w:tcPr>
            <w:tcW w:w="1395"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74" w:right="0" w:firstLine="0"/>
              <w:jc w:val="center"/>
            </w:pPr>
            <w:r>
              <w:t xml:space="preserve">0,929 </w:t>
            </w:r>
          </w:p>
        </w:tc>
      </w:tr>
      <w:tr w:rsidR="000A3DBC">
        <w:trPr>
          <w:trHeight w:val="521"/>
        </w:trPr>
        <w:tc>
          <w:tcPr>
            <w:tcW w:w="0" w:type="auto"/>
            <w:vMerge/>
            <w:tcBorders>
              <w:top w:val="nil"/>
              <w:left w:val="single" w:sz="8" w:space="0" w:color="000000"/>
              <w:bottom w:val="nil"/>
              <w:right w:val="single" w:sz="8" w:space="0" w:color="000000"/>
            </w:tcBorders>
          </w:tcPr>
          <w:p w:rsidR="000A3DBC" w:rsidRDefault="000A3DBC">
            <w:pPr>
              <w:spacing w:after="160" w:line="259" w:lineRule="auto"/>
              <w:ind w:left="0" w:right="0" w:firstLine="0"/>
              <w:jc w:val="left"/>
            </w:pPr>
          </w:p>
        </w:tc>
        <w:tc>
          <w:tcPr>
            <w:tcW w:w="4959"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2" w:right="0" w:firstLine="0"/>
              <w:jc w:val="left"/>
            </w:pPr>
            <w:r>
              <w:t xml:space="preserve">GA.3. Membeli mobil listrik memuaskan. </w:t>
            </w:r>
          </w:p>
        </w:tc>
        <w:tc>
          <w:tcPr>
            <w:tcW w:w="1395"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74" w:right="0" w:firstLine="0"/>
              <w:jc w:val="center"/>
            </w:pPr>
            <w:r>
              <w:t xml:space="preserve">0,900 </w:t>
            </w:r>
          </w:p>
        </w:tc>
      </w:tr>
      <w:tr w:rsidR="000A3DBC">
        <w:trPr>
          <w:trHeight w:val="499"/>
        </w:trPr>
        <w:tc>
          <w:tcPr>
            <w:tcW w:w="0" w:type="auto"/>
            <w:vMerge/>
            <w:tcBorders>
              <w:top w:val="nil"/>
              <w:left w:val="single" w:sz="8" w:space="0" w:color="000000"/>
              <w:bottom w:val="single" w:sz="8" w:space="0" w:color="000000"/>
              <w:right w:val="single" w:sz="8" w:space="0" w:color="000000"/>
            </w:tcBorders>
          </w:tcPr>
          <w:p w:rsidR="000A3DBC" w:rsidRDefault="000A3DBC">
            <w:pPr>
              <w:spacing w:after="160" w:line="259" w:lineRule="auto"/>
              <w:ind w:left="0" w:right="0" w:firstLine="0"/>
              <w:jc w:val="left"/>
            </w:pPr>
          </w:p>
        </w:tc>
        <w:tc>
          <w:tcPr>
            <w:tcW w:w="4959"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2" w:right="0" w:firstLine="0"/>
              <w:jc w:val="left"/>
            </w:pPr>
            <w:r>
              <w:t xml:space="preserve">GA.4. Membeli mobil listrik ide yang bijaksana. </w:t>
            </w:r>
          </w:p>
        </w:tc>
        <w:tc>
          <w:tcPr>
            <w:tcW w:w="1395"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74" w:right="0" w:firstLine="0"/>
              <w:jc w:val="center"/>
            </w:pPr>
            <w:r>
              <w:t xml:space="preserve">0,944 </w:t>
            </w:r>
          </w:p>
        </w:tc>
      </w:tr>
      <w:tr w:rsidR="000A3DBC">
        <w:trPr>
          <w:trHeight w:val="857"/>
        </w:trPr>
        <w:tc>
          <w:tcPr>
            <w:tcW w:w="2012" w:type="dxa"/>
            <w:tcBorders>
              <w:top w:val="single" w:sz="8" w:space="0" w:color="000000"/>
              <w:left w:val="single" w:sz="8" w:space="0" w:color="000000"/>
              <w:bottom w:val="single" w:sz="8" w:space="0" w:color="000000"/>
              <w:right w:val="single" w:sz="8" w:space="0" w:color="000000"/>
            </w:tcBorders>
            <w:vAlign w:val="center"/>
          </w:tcPr>
          <w:p w:rsidR="000A3DBC" w:rsidRDefault="00FF7768">
            <w:pPr>
              <w:spacing w:after="0" w:line="259" w:lineRule="auto"/>
              <w:ind w:left="0" w:right="0" w:firstLine="0"/>
              <w:jc w:val="left"/>
            </w:pPr>
            <w:r>
              <w:lastRenderedPageBreak/>
              <w:t xml:space="preserve"> </w:t>
            </w:r>
          </w:p>
        </w:tc>
        <w:tc>
          <w:tcPr>
            <w:tcW w:w="4959"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2" w:right="0" w:firstLine="0"/>
              <w:jc w:val="left"/>
            </w:pPr>
            <w:r>
              <w:t xml:space="preserve">WP.1. Saya mempertimbangkan untuk membeli mobil listrik. </w:t>
            </w:r>
          </w:p>
        </w:tc>
        <w:tc>
          <w:tcPr>
            <w:tcW w:w="1395"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74" w:right="0" w:firstLine="0"/>
              <w:jc w:val="center"/>
            </w:pPr>
            <w:r>
              <w:t xml:space="preserve">0,715 </w:t>
            </w:r>
          </w:p>
        </w:tc>
      </w:tr>
      <w:tr w:rsidR="000A3DBC">
        <w:trPr>
          <w:trHeight w:val="521"/>
        </w:trPr>
        <w:tc>
          <w:tcPr>
            <w:tcW w:w="2012" w:type="dxa"/>
            <w:vMerge w:val="restart"/>
            <w:tcBorders>
              <w:top w:val="single" w:sz="8" w:space="0" w:color="000000"/>
              <w:left w:val="single" w:sz="8" w:space="0" w:color="000000"/>
              <w:bottom w:val="single" w:sz="8" w:space="0" w:color="000000"/>
              <w:right w:val="single" w:sz="8" w:space="0" w:color="000000"/>
            </w:tcBorders>
          </w:tcPr>
          <w:p w:rsidR="000A3DBC" w:rsidRDefault="00FF7768">
            <w:pPr>
              <w:spacing w:after="112" w:line="259" w:lineRule="auto"/>
              <w:ind w:left="17" w:right="0" w:firstLine="0"/>
              <w:jc w:val="left"/>
            </w:pPr>
            <w:r>
              <w:t xml:space="preserve">Willingness to </w:t>
            </w:r>
          </w:p>
          <w:p w:rsidR="000A3DBC" w:rsidRDefault="00FF7768">
            <w:pPr>
              <w:spacing w:after="112" w:line="259" w:lineRule="auto"/>
              <w:ind w:left="17" w:right="0" w:firstLine="0"/>
              <w:jc w:val="left"/>
            </w:pPr>
            <w:r>
              <w:t xml:space="preserve">Purchase, Konuk </w:t>
            </w:r>
          </w:p>
          <w:p w:rsidR="000A3DBC" w:rsidRDefault="00FF7768">
            <w:pPr>
              <w:spacing w:after="0" w:line="259" w:lineRule="auto"/>
              <w:ind w:left="17" w:right="0" w:firstLine="0"/>
              <w:jc w:val="left"/>
            </w:pPr>
            <w:r>
              <w:t xml:space="preserve">(2019) </w:t>
            </w:r>
          </w:p>
        </w:tc>
        <w:tc>
          <w:tcPr>
            <w:tcW w:w="4959"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5" w:right="0" w:firstLine="0"/>
              <w:jc w:val="left"/>
            </w:pPr>
            <w:r>
              <w:t xml:space="preserve">WP.2. Saya akan membeli mobil listrik. </w:t>
            </w:r>
          </w:p>
        </w:tc>
        <w:tc>
          <w:tcPr>
            <w:tcW w:w="1395"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187" w:right="0" w:firstLine="0"/>
              <w:jc w:val="center"/>
            </w:pPr>
            <w:r>
              <w:t xml:space="preserve">0,939 </w:t>
            </w:r>
          </w:p>
        </w:tc>
      </w:tr>
      <w:tr w:rsidR="000A3DBC">
        <w:trPr>
          <w:trHeight w:val="521"/>
        </w:trPr>
        <w:tc>
          <w:tcPr>
            <w:tcW w:w="0" w:type="auto"/>
            <w:vMerge/>
            <w:tcBorders>
              <w:top w:val="nil"/>
              <w:left w:val="single" w:sz="8" w:space="0" w:color="000000"/>
              <w:bottom w:val="nil"/>
              <w:right w:val="single" w:sz="8" w:space="0" w:color="000000"/>
            </w:tcBorders>
          </w:tcPr>
          <w:p w:rsidR="000A3DBC" w:rsidRDefault="000A3DBC">
            <w:pPr>
              <w:spacing w:after="160" w:line="259" w:lineRule="auto"/>
              <w:ind w:left="0" w:right="0" w:firstLine="0"/>
              <w:jc w:val="left"/>
            </w:pPr>
          </w:p>
        </w:tc>
        <w:tc>
          <w:tcPr>
            <w:tcW w:w="4959"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5" w:right="0" w:firstLine="0"/>
              <w:jc w:val="left"/>
            </w:pPr>
            <w:r>
              <w:t xml:space="preserve">WP.3. Kemungkinan besar saya membeli mobil listrik. </w:t>
            </w:r>
          </w:p>
        </w:tc>
        <w:tc>
          <w:tcPr>
            <w:tcW w:w="1395"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187" w:right="0" w:firstLine="0"/>
              <w:jc w:val="center"/>
            </w:pPr>
            <w:r>
              <w:t xml:space="preserve">0,936 </w:t>
            </w:r>
          </w:p>
        </w:tc>
      </w:tr>
      <w:tr w:rsidR="000A3DBC">
        <w:trPr>
          <w:trHeight w:val="1080"/>
        </w:trPr>
        <w:tc>
          <w:tcPr>
            <w:tcW w:w="0" w:type="auto"/>
            <w:vMerge/>
            <w:tcBorders>
              <w:top w:val="nil"/>
              <w:left w:val="single" w:sz="8" w:space="0" w:color="000000"/>
              <w:bottom w:val="single" w:sz="8" w:space="0" w:color="000000"/>
              <w:right w:val="single" w:sz="8" w:space="0" w:color="000000"/>
            </w:tcBorders>
          </w:tcPr>
          <w:p w:rsidR="000A3DBC" w:rsidRDefault="000A3DBC">
            <w:pPr>
              <w:spacing w:after="160" w:line="259" w:lineRule="auto"/>
              <w:ind w:left="0" w:right="0" w:firstLine="0"/>
              <w:jc w:val="left"/>
            </w:pPr>
          </w:p>
        </w:tc>
        <w:tc>
          <w:tcPr>
            <w:tcW w:w="4959" w:type="dxa"/>
            <w:tcBorders>
              <w:top w:val="single" w:sz="8" w:space="0" w:color="000000"/>
              <w:left w:val="single" w:sz="8" w:space="0" w:color="000000"/>
              <w:bottom w:val="single" w:sz="8" w:space="0" w:color="000000"/>
              <w:right w:val="single" w:sz="8" w:space="0" w:color="000000"/>
            </w:tcBorders>
            <w:vAlign w:val="bottom"/>
          </w:tcPr>
          <w:p w:rsidR="000A3DBC" w:rsidRDefault="00FF7768">
            <w:pPr>
              <w:spacing w:after="0" w:line="259" w:lineRule="auto"/>
              <w:ind w:left="0" w:right="0" w:firstLine="0"/>
            </w:pPr>
            <w:r>
              <w:t xml:space="preserve">WP.4. Saya berencana memiliki mobil listrik dalam waktu dekat. </w:t>
            </w:r>
          </w:p>
        </w:tc>
        <w:tc>
          <w:tcPr>
            <w:tcW w:w="1395"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173" w:right="0" w:firstLine="0"/>
              <w:jc w:val="center"/>
            </w:pPr>
            <w:r>
              <w:t xml:space="preserve">0,823 </w:t>
            </w:r>
          </w:p>
        </w:tc>
      </w:tr>
    </w:tbl>
    <w:p w:rsidR="000A3DBC" w:rsidRDefault="00FF7768">
      <w:pPr>
        <w:spacing w:after="138" w:line="259" w:lineRule="auto"/>
        <w:ind w:left="0" w:right="0" w:firstLine="0"/>
        <w:jc w:val="left"/>
      </w:pPr>
      <w:r>
        <w:rPr>
          <w:sz w:val="24"/>
        </w:rPr>
        <w:t xml:space="preserve"> </w:t>
      </w:r>
    </w:p>
    <w:p w:rsidR="000A3DBC" w:rsidRDefault="00FF7768">
      <w:pPr>
        <w:pStyle w:val="Heading1"/>
        <w:spacing w:after="203"/>
        <w:ind w:left="-5"/>
        <w:jc w:val="left"/>
      </w:pPr>
      <w:r>
        <w:t>Metode</w:t>
      </w:r>
      <w:r>
        <w:rPr>
          <w:b w:val="0"/>
          <w:color w:val="2F5496"/>
          <w:sz w:val="26"/>
        </w:rPr>
        <w:t xml:space="preserve">  </w:t>
      </w:r>
    </w:p>
    <w:p w:rsidR="000A3DBC" w:rsidRDefault="00FF7768">
      <w:pPr>
        <w:spacing w:after="123"/>
        <w:ind w:left="-15" w:right="299" w:firstLine="720"/>
      </w:pPr>
      <w:r>
        <w:t xml:space="preserve">PLS-SEM digunakan sebagai model dalam penelitian ini, model ini bisa untuk menemukan keterkaitan antar variabel laten yang sebenarnya dengan </w:t>
      </w:r>
      <w:r>
        <w:rPr>
          <w:i/>
        </w:rPr>
        <w:t xml:space="preserve">structural equation modeling </w:t>
      </w:r>
      <w:r>
        <w:t xml:space="preserve">(Kock, 2020). Menggunakan PLS-SEM untuk mengetahui faktor apa saja yang menjadi niat beli konsumen dalam penggunaan kendaraan listrik. Dalam penelitian ini, PLSSEM digunakan untuk menguji data kuantitatif, hasil dari PLS-SEM menunjukkan bahwa </w:t>
      </w:r>
      <w:r>
        <w:rPr>
          <w:i/>
        </w:rPr>
        <w:t>Willingness to Purchase</w:t>
      </w:r>
      <w:r>
        <w:t xml:space="preserve">, </w:t>
      </w:r>
      <w:r>
        <w:rPr>
          <w:i/>
        </w:rPr>
        <w:t xml:space="preserve">Tax and Financial Incentive Policy </w:t>
      </w:r>
      <w:r>
        <w:t xml:space="preserve">&amp; </w:t>
      </w:r>
      <w:r>
        <w:rPr>
          <w:i/>
        </w:rPr>
        <w:t xml:space="preserve">Green Attitude </w:t>
      </w:r>
      <w:r>
        <w:t xml:space="preserve">secara signifikan mempengaruhi keberhasilan untuk adopsi kendaraan listrik dengan cepat. </w:t>
      </w:r>
    </w:p>
    <w:p w:rsidR="000A3DBC" w:rsidRDefault="00FF7768">
      <w:pPr>
        <w:spacing w:after="254" w:line="259" w:lineRule="auto"/>
        <w:ind w:left="720" w:right="0" w:firstLine="0"/>
        <w:jc w:val="left"/>
      </w:pPr>
      <w:r>
        <w:t xml:space="preserve"> </w:t>
      </w:r>
    </w:p>
    <w:p w:rsidR="000A3DBC" w:rsidRDefault="00FF7768" w:rsidP="007B00F4">
      <w:pPr>
        <w:pStyle w:val="Heading1"/>
        <w:ind w:left="0" w:right="663" w:firstLine="0"/>
        <w:jc w:val="left"/>
      </w:pPr>
      <w:r>
        <w:t xml:space="preserve">HASIL DAN DISKUSI </w:t>
      </w:r>
    </w:p>
    <w:p w:rsidR="000A3DBC" w:rsidRDefault="00FF7768">
      <w:pPr>
        <w:ind w:left="-15" w:right="299" w:firstLine="720"/>
      </w:pPr>
      <w:r>
        <w:t xml:space="preserve">Penelitian ini dibagi menjadi tiga bagian: sampel Profil Demografis, Model Pengukuran, dan Pengujian Hipotesis. Bagian dari sampel profil Demografis memberikan informasi tentang responden berdasarkan Domisili, Umur, Pendidikan, Jenis kelamin, dan Penghasilan, yang tertera di Tabel 2. Pengukuran demografis dalam penelitian ini diadaptasi dari penelitian terdahulu oleh Wang et al. (2017). </w:t>
      </w:r>
    </w:p>
    <w:p w:rsidR="000A3DBC" w:rsidRDefault="00FF7768">
      <w:pPr>
        <w:spacing w:after="112" w:line="259" w:lineRule="auto"/>
        <w:ind w:left="720" w:right="0" w:firstLine="0"/>
        <w:jc w:val="left"/>
      </w:pPr>
      <w:r>
        <w:t xml:space="preserve"> </w:t>
      </w:r>
    </w:p>
    <w:p w:rsidR="000A3DBC" w:rsidRDefault="00FF7768" w:rsidP="007B00F4">
      <w:pPr>
        <w:spacing w:line="259" w:lineRule="auto"/>
        <w:ind w:left="0" w:right="299"/>
        <w:jc w:val="left"/>
      </w:pPr>
      <w:r>
        <w:rPr>
          <w:b/>
        </w:rPr>
        <w:t xml:space="preserve">Tabel 2. </w:t>
      </w:r>
      <w:r>
        <w:t>Profil Demografis (N = 322)</w:t>
      </w:r>
    </w:p>
    <w:tbl>
      <w:tblPr>
        <w:tblStyle w:val="TableGrid"/>
        <w:tblW w:w="8366" w:type="dxa"/>
        <w:tblInd w:w="0" w:type="dxa"/>
        <w:tblCellMar>
          <w:top w:w="53" w:type="dxa"/>
          <w:left w:w="22" w:type="dxa"/>
          <w:right w:w="115" w:type="dxa"/>
        </w:tblCellMar>
        <w:tblLook w:val="04A0" w:firstRow="1" w:lastRow="0" w:firstColumn="1" w:lastColumn="0" w:noHBand="0" w:noVBand="1"/>
      </w:tblPr>
      <w:tblGrid>
        <w:gridCol w:w="3688"/>
        <w:gridCol w:w="2285"/>
        <w:gridCol w:w="2393"/>
      </w:tblGrid>
      <w:tr w:rsidR="000A3DBC">
        <w:trPr>
          <w:trHeight w:val="433"/>
        </w:trPr>
        <w:tc>
          <w:tcPr>
            <w:tcW w:w="3687"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0" w:right="0" w:firstLine="0"/>
              <w:jc w:val="left"/>
            </w:pPr>
            <w:r>
              <w:rPr>
                <w:b/>
              </w:rPr>
              <w:t xml:space="preserve">Domisili </w:t>
            </w:r>
          </w:p>
        </w:tc>
        <w:tc>
          <w:tcPr>
            <w:tcW w:w="2285"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114" w:right="0" w:firstLine="0"/>
              <w:jc w:val="center"/>
            </w:pPr>
            <w:r>
              <w:rPr>
                <w:b/>
              </w:rPr>
              <w:t xml:space="preserve">Frekuensi </w:t>
            </w:r>
          </w:p>
        </w:tc>
        <w:tc>
          <w:tcPr>
            <w:tcW w:w="2393"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110" w:right="0" w:firstLine="0"/>
              <w:jc w:val="center"/>
            </w:pPr>
            <w:r>
              <w:rPr>
                <w:b/>
              </w:rPr>
              <w:t xml:space="preserve">Persentase </w:t>
            </w:r>
          </w:p>
        </w:tc>
      </w:tr>
      <w:tr w:rsidR="000A3DBC">
        <w:trPr>
          <w:trHeight w:val="446"/>
        </w:trPr>
        <w:tc>
          <w:tcPr>
            <w:tcW w:w="3687"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0" w:right="0" w:firstLine="0"/>
              <w:jc w:val="left"/>
            </w:pPr>
            <w:r>
              <w:t xml:space="preserve">Papua dan Maluku </w:t>
            </w:r>
          </w:p>
        </w:tc>
        <w:tc>
          <w:tcPr>
            <w:tcW w:w="2285"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112" w:right="0" w:firstLine="0"/>
              <w:jc w:val="center"/>
            </w:pPr>
            <w:r>
              <w:t xml:space="preserve">97 </w:t>
            </w:r>
          </w:p>
        </w:tc>
        <w:tc>
          <w:tcPr>
            <w:tcW w:w="2393"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111" w:right="0" w:firstLine="0"/>
              <w:jc w:val="center"/>
            </w:pPr>
            <w:r>
              <w:t xml:space="preserve">48,26% </w:t>
            </w:r>
          </w:p>
        </w:tc>
      </w:tr>
      <w:tr w:rsidR="000A3DBC">
        <w:trPr>
          <w:trHeight w:val="442"/>
        </w:trPr>
        <w:tc>
          <w:tcPr>
            <w:tcW w:w="3687"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0" w:right="0" w:firstLine="0"/>
              <w:jc w:val="left"/>
            </w:pPr>
            <w:r>
              <w:t xml:space="preserve">Sumatera, Jawa </w:t>
            </w:r>
          </w:p>
        </w:tc>
        <w:tc>
          <w:tcPr>
            <w:tcW w:w="2285"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127" w:right="0" w:firstLine="0"/>
              <w:jc w:val="center"/>
            </w:pPr>
            <w:r>
              <w:t xml:space="preserve">44 </w:t>
            </w:r>
          </w:p>
        </w:tc>
        <w:tc>
          <w:tcPr>
            <w:tcW w:w="2393"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125" w:right="0" w:firstLine="0"/>
              <w:jc w:val="center"/>
            </w:pPr>
            <w:r>
              <w:t xml:space="preserve">21,89% </w:t>
            </w:r>
          </w:p>
        </w:tc>
      </w:tr>
      <w:tr w:rsidR="000A3DBC">
        <w:trPr>
          <w:trHeight w:val="826"/>
        </w:trPr>
        <w:tc>
          <w:tcPr>
            <w:tcW w:w="3687"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0" w:right="0" w:firstLine="0"/>
              <w:jc w:val="left"/>
            </w:pPr>
            <w:r>
              <w:t xml:space="preserve">Sulawesi, Kalimantan, Nusa Tenggara dan Bali </w:t>
            </w:r>
          </w:p>
        </w:tc>
        <w:tc>
          <w:tcPr>
            <w:tcW w:w="2285"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112" w:right="0" w:firstLine="0"/>
              <w:jc w:val="center"/>
            </w:pPr>
            <w:r>
              <w:t xml:space="preserve">60 </w:t>
            </w:r>
          </w:p>
        </w:tc>
        <w:tc>
          <w:tcPr>
            <w:tcW w:w="2393"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111" w:right="0" w:firstLine="0"/>
              <w:jc w:val="center"/>
            </w:pPr>
            <w:r>
              <w:t xml:space="preserve">29,85% </w:t>
            </w:r>
          </w:p>
        </w:tc>
      </w:tr>
      <w:tr w:rsidR="000A3DBC">
        <w:trPr>
          <w:trHeight w:val="434"/>
        </w:trPr>
        <w:tc>
          <w:tcPr>
            <w:tcW w:w="3687"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0" w:right="0" w:firstLine="0"/>
              <w:jc w:val="left"/>
            </w:pPr>
            <w:r>
              <w:lastRenderedPageBreak/>
              <w:t xml:space="preserve">Total </w:t>
            </w:r>
          </w:p>
        </w:tc>
        <w:tc>
          <w:tcPr>
            <w:tcW w:w="2285"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112" w:right="0" w:firstLine="0"/>
              <w:jc w:val="center"/>
            </w:pPr>
            <w:r>
              <w:t xml:space="preserve">201 </w:t>
            </w:r>
          </w:p>
        </w:tc>
        <w:tc>
          <w:tcPr>
            <w:tcW w:w="2393"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109" w:right="0" w:firstLine="0"/>
              <w:jc w:val="center"/>
            </w:pPr>
            <w:r>
              <w:t xml:space="preserve">100,00% </w:t>
            </w:r>
          </w:p>
        </w:tc>
      </w:tr>
      <w:tr w:rsidR="000A3DBC">
        <w:trPr>
          <w:trHeight w:val="430"/>
        </w:trPr>
        <w:tc>
          <w:tcPr>
            <w:tcW w:w="3687"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0" w:right="0" w:firstLine="0"/>
              <w:jc w:val="left"/>
            </w:pPr>
            <w:r>
              <w:rPr>
                <w:b/>
              </w:rPr>
              <w:t xml:space="preserve">Umur </w:t>
            </w:r>
          </w:p>
        </w:tc>
        <w:tc>
          <w:tcPr>
            <w:tcW w:w="2285"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114" w:right="0" w:firstLine="0"/>
              <w:jc w:val="center"/>
            </w:pPr>
            <w:r>
              <w:rPr>
                <w:b/>
              </w:rPr>
              <w:t xml:space="preserve">Frekuensi </w:t>
            </w:r>
          </w:p>
        </w:tc>
        <w:tc>
          <w:tcPr>
            <w:tcW w:w="2393"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110" w:right="0" w:firstLine="0"/>
              <w:jc w:val="center"/>
            </w:pPr>
            <w:r>
              <w:rPr>
                <w:b/>
              </w:rPr>
              <w:t xml:space="preserve">Persentase </w:t>
            </w:r>
          </w:p>
        </w:tc>
      </w:tr>
      <w:tr w:rsidR="000A3DBC">
        <w:trPr>
          <w:trHeight w:val="444"/>
        </w:trPr>
        <w:tc>
          <w:tcPr>
            <w:tcW w:w="3687"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0" w:right="0" w:firstLine="0"/>
              <w:jc w:val="left"/>
            </w:pPr>
            <w:r>
              <w:t xml:space="preserve">17 - 34 tahun </w:t>
            </w:r>
          </w:p>
        </w:tc>
        <w:tc>
          <w:tcPr>
            <w:tcW w:w="2285"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112" w:right="0" w:firstLine="0"/>
              <w:jc w:val="center"/>
            </w:pPr>
            <w:r>
              <w:t xml:space="preserve">104 </w:t>
            </w:r>
          </w:p>
        </w:tc>
        <w:tc>
          <w:tcPr>
            <w:tcW w:w="2393"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111" w:right="0" w:firstLine="0"/>
              <w:jc w:val="center"/>
            </w:pPr>
            <w:r>
              <w:t xml:space="preserve">51,74% </w:t>
            </w:r>
          </w:p>
        </w:tc>
      </w:tr>
      <w:tr w:rsidR="000A3DBC">
        <w:trPr>
          <w:trHeight w:val="435"/>
        </w:trPr>
        <w:tc>
          <w:tcPr>
            <w:tcW w:w="3687"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0" w:right="0" w:firstLine="0"/>
              <w:jc w:val="left"/>
            </w:pPr>
            <w:r>
              <w:t xml:space="preserve">35 - 50 tahun </w:t>
            </w:r>
          </w:p>
        </w:tc>
        <w:tc>
          <w:tcPr>
            <w:tcW w:w="2285"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127" w:right="0" w:firstLine="0"/>
              <w:jc w:val="center"/>
            </w:pPr>
            <w:r>
              <w:t xml:space="preserve">85 </w:t>
            </w:r>
          </w:p>
        </w:tc>
        <w:tc>
          <w:tcPr>
            <w:tcW w:w="2393"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125" w:right="0" w:firstLine="0"/>
              <w:jc w:val="center"/>
            </w:pPr>
            <w:r>
              <w:t xml:space="preserve">42,29% </w:t>
            </w:r>
          </w:p>
        </w:tc>
      </w:tr>
      <w:tr w:rsidR="000A3DBC">
        <w:trPr>
          <w:trHeight w:val="430"/>
        </w:trPr>
        <w:tc>
          <w:tcPr>
            <w:tcW w:w="3687"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0" w:right="0" w:firstLine="0"/>
              <w:jc w:val="left"/>
            </w:pPr>
            <w:r>
              <w:t xml:space="preserve">51 - 70 tahun </w:t>
            </w:r>
          </w:p>
        </w:tc>
        <w:tc>
          <w:tcPr>
            <w:tcW w:w="2285"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112" w:right="0" w:firstLine="0"/>
              <w:jc w:val="center"/>
            </w:pPr>
            <w:r>
              <w:t xml:space="preserve">12 </w:t>
            </w:r>
          </w:p>
        </w:tc>
        <w:tc>
          <w:tcPr>
            <w:tcW w:w="2393"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111" w:right="0" w:firstLine="0"/>
              <w:jc w:val="center"/>
            </w:pPr>
            <w:r>
              <w:t xml:space="preserve">5,97% </w:t>
            </w:r>
          </w:p>
        </w:tc>
      </w:tr>
      <w:tr w:rsidR="000A3DBC">
        <w:trPr>
          <w:trHeight w:val="444"/>
        </w:trPr>
        <w:tc>
          <w:tcPr>
            <w:tcW w:w="3687"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0" w:right="0" w:firstLine="0"/>
              <w:jc w:val="left"/>
            </w:pPr>
            <w:r>
              <w:t xml:space="preserve">Total </w:t>
            </w:r>
          </w:p>
        </w:tc>
        <w:tc>
          <w:tcPr>
            <w:tcW w:w="2285"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112" w:right="0" w:firstLine="0"/>
              <w:jc w:val="center"/>
            </w:pPr>
            <w:r>
              <w:t xml:space="preserve">201 </w:t>
            </w:r>
          </w:p>
        </w:tc>
        <w:tc>
          <w:tcPr>
            <w:tcW w:w="2393"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109" w:right="0" w:firstLine="0"/>
              <w:jc w:val="center"/>
            </w:pPr>
            <w:r>
              <w:t xml:space="preserve">100,00% </w:t>
            </w:r>
          </w:p>
        </w:tc>
      </w:tr>
      <w:tr w:rsidR="000A3DBC">
        <w:trPr>
          <w:trHeight w:val="437"/>
        </w:trPr>
        <w:tc>
          <w:tcPr>
            <w:tcW w:w="3687"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0" w:right="0" w:firstLine="0"/>
              <w:jc w:val="left"/>
            </w:pPr>
            <w:r>
              <w:rPr>
                <w:b/>
              </w:rPr>
              <w:t xml:space="preserve">Pendidikan </w:t>
            </w:r>
          </w:p>
        </w:tc>
        <w:tc>
          <w:tcPr>
            <w:tcW w:w="2285"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114" w:right="0" w:firstLine="0"/>
              <w:jc w:val="center"/>
            </w:pPr>
            <w:r>
              <w:rPr>
                <w:b/>
              </w:rPr>
              <w:t xml:space="preserve">Frekuensi </w:t>
            </w:r>
          </w:p>
        </w:tc>
        <w:tc>
          <w:tcPr>
            <w:tcW w:w="2393"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110" w:right="0" w:firstLine="0"/>
              <w:jc w:val="center"/>
            </w:pPr>
            <w:r>
              <w:rPr>
                <w:b/>
              </w:rPr>
              <w:t xml:space="preserve">Persentase </w:t>
            </w:r>
          </w:p>
        </w:tc>
      </w:tr>
      <w:tr w:rsidR="000A3DBC">
        <w:trPr>
          <w:trHeight w:val="430"/>
        </w:trPr>
        <w:tc>
          <w:tcPr>
            <w:tcW w:w="3687"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0" w:right="0" w:firstLine="0"/>
              <w:jc w:val="left"/>
            </w:pPr>
            <w:r>
              <w:t xml:space="preserve">SMA </w:t>
            </w:r>
          </w:p>
        </w:tc>
        <w:tc>
          <w:tcPr>
            <w:tcW w:w="2285"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112" w:right="0" w:firstLine="0"/>
              <w:jc w:val="center"/>
            </w:pPr>
            <w:r>
              <w:t xml:space="preserve">47 </w:t>
            </w:r>
          </w:p>
        </w:tc>
        <w:tc>
          <w:tcPr>
            <w:tcW w:w="2393"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111" w:right="0" w:firstLine="0"/>
              <w:jc w:val="center"/>
            </w:pPr>
            <w:r>
              <w:t xml:space="preserve">23,38% </w:t>
            </w:r>
          </w:p>
        </w:tc>
      </w:tr>
      <w:tr w:rsidR="000A3DBC">
        <w:trPr>
          <w:trHeight w:val="444"/>
        </w:trPr>
        <w:tc>
          <w:tcPr>
            <w:tcW w:w="3687"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0" w:right="0" w:firstLine="0"/>
              <w:jc w:val="left"/>
            </w:pPr>
            <w:r>
              <w:t xml:space="preserve">D3 </w:t>
            </w:r>
          </w:p>
        </w:tc>
        <w:tc>
          <w:tcPr>
            <w:tcW w:w="2285"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127" w:right="0" w:firstLine="0"/>
              <w:jc w:val="center"/>
            </w:pPr>
            <w:r>
              <w:t xml:space="preserve">11 </w:t>
            </w:r>
          </w:p>
        </w:tc>
        <w:tc>
          <w:tcPr>
            <w:tcW w:w="2393"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126" w:right="0" w:firstLine="0"/>
              <w:jc w:val="center"/>
            </w:pPr>
            <w:r>
              <w:t xml:space="preserve">5,47% </w:t>
            </w:r>
          </w:p>
        </w:tc>
      </w:tr>
      <w:tr w:rsidR="000A3DBC">
        <w:trPr>
          <w:trHeight w:val="439"/>
        </w:trPr>
        <w:tc>
          <w:tcPr>
            <w:tcW w:w="3687"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0" w:right="0" w:firstLine="0"/>
              <w:jc w:val="left"/>
            </w:pPr>
            <w:r>
              <w:t xml:space="preserve">S1 </w:t>
            </w:r>
          </w:p>
        </w:tc>
        <w:tc>
          <w:tcPr>
            <w:tcW w:w="2285"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127" w:right="0" w:firstLine="0"/>
              <w:jc w:val="center"/>
            </w:pPr>
            <w:r>
              <w:t xml:space="preserve">135 </w:t>
            </w:r>
          </w:p>
        </w:tc>
        <w:tc>
          <w:tcPr>
            <w:tcW w:w="2393"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125" w:right="0" w:firstLine="0"/>
              <w:jc w:val="center"/>
            </w:pPr>
            <w:r>
              <w:t xml:space="preserve">67,16% </w:t>
            </w:r>
          </w:p>
        </w:tc>
      </w:tr>
      <w:tr w:rsidR="000A3DBC">
        <w:trPr>
          <w:trHeight w:val="430"/>
        </w:trPr>
        <w:tc>
          <w:tcPr>
            <w:tcW w:w="3687"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0" w:right="0" w:firstLine="0"/>
              <w:jc w:val="left"/>
            </w:pPr>
            <w:r>
              <w:t xml:space="preserve">S2, S3 </w:t>
            </w:r>
          </w:p>
        </w:tc>
        <w:tc>
          <w:tcPr>
            <w:tcW w:w="2285"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115" w:right="0" w:firstLine="0"/>
              <w:jc w:val="center"/>
            </w:pPr>
            <w:r>
              <w:t xml:space="preserve">8 </w:t>
            </w:r>
          </w:p>
        </w:tc>
        <w:tc>
          <w:tcPr>
            <w:tcW w:w="2393"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111" w:right="0" w:firstLine="0"/>
              <w:jc w:val="center"/>
            </w:pPr>
            <w:r>
              <w:t xml:space="preserve">3,98% </w:t>
            </w:r>
          </w:p>
        </w:tc>
      </w:tr>
      <w:tr w:rsidR="000A3DBC">
        <w:trPr>
          <w:trHeight w:val="447"/>
        </w:trPr>
        <w:tc>
          <w:tcPr>
            <w:tcW w:w="3687"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0" w:right="0" w:firstLine="0"/>
              <w:jc w:val="left"/>
            </w:pPr>
            <w:r>
              <w:t xml:space="preserve">Total </w:t>
            </w:r>
          </w:p>
        </w:tc>
        <w:tc>
          <w:tcPr>
            <w:tcW w:w="2285"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112" w:right="0" w:firstLine="0"/>
              <w:jc w:val="center"/>
            </w:pPr>
            <w:r>
              <w:t xml:space="preserve">201 </w:t>
            </w:r>
          </w:p>
        </w:tc>
        <w:tc>
          <w:tcPr>
            <w:tcW w:w="2393"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109" w:right="0" w:firstLine="0"/>
              <w:jc w:val="center"/>
            </w:pPr>
            <w:r>
              <w:t xml:space="preserve">100,00% </w:t>
            </w:r>
          </w:p>
        </w:tc>
      </w:tr>
      <w:tr w:rsidR="000A3DBC">
        <w:trPr>
          <w:trHeight w:val="437"/>
        </w:trPr>
        <w:tc>
          <w:tcPr>
            <w:tcW w:w="3687"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0" w:right="0" w:firstLine="0"/>
              <w:jc w:val="left"/>
            </w:pPr>
            <w:r>
              <w:rPr>
                <w:b/>
              </w:rPr>
              <w:t xml:space="preserve">Jenis Kelamin </w:t>
            </w:r>
          </w:p>
        </w:tc>
        <w:tc>
          <w:tcPr>
            <w:tcW w:w="2285"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114" w:right="0" w:firstLine="0"/>
              <w:jc w:val="center"/>
            </w:pPr>
            <w:r>
              <w:rPr>
                <w:b/>
              </w:rPr>
              <w:t xml:space="preserve">Frekuensi </w:t>
            </w:r>
          </w:p>
        </w:tc>
        <w:tc>
          <w:tcPr>
            <w:tcW w:w="2393"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110" w:right="0" w:firstLine="0"/>
              <w:jc w:val="center"/>
            </w:pPr>
            <w:r>
              <w:rPr>
                <w:b/>
              </w:rPr>
              <w:t xml:space="preserve">Persentase </w:t>
            </w:r>
          </w:p>
        </w:tc>
      </w:tr>
      <w:tr w:rsidR="000A3DBC">
        <w:trPr>
          <w:trHeight w:val="432"/>
        </w:trPr>
        <w:tc>
          <w:tcPr>
            <w:tcW w:w="3687"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0" w:right="0" w:firstLine="0"/>
              <w:jc w:val="left"/>
            </w:pPr>
            <w:r>
              <w:t xml:space="preserve">Laki-Laki </w:t>
            </w:r>
          </w:p>
        </w:tc>
        <w:tc>
          <w:tcPr>
            <w:tcW w:w="2285"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112" w:right="0" w:firstLine="0"/>
              <w:jc w:val="center"/>
            </w:pPr>
            <w:r>
              <w:t xml:space="preserve">86 </w:t>
            </w:r>
          </w:p>
        </w:tc>
        <w:tc>
          <w:tcPr>
            <w:tcW w:w="2393"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111" w:right="0" w:firstLine="0"/>
              <w:jc w:val="center"/>
            </w:pPr>
            <w:r>
              <w:t xml:space="preserve">42,79% </w:t>
            </w:r>
          </w:p>
        </w:tc>
      </w:tr>
      <w:tr w:rsidR="000A3DBC">
        <w:trPr>
          <w:trHeight w:val="444"/>
        </w:trPr>
        <w:tc>
          <w:tcPr>
            <w:tcW w:w="3687"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0" w:right="0" w:firstLine="0"/>
              <w:jc w:val="left"/>
            </w:pPr>
            <w:r>
              <w:t xml:space="preserve">Perempuan </w:t>
            </w:r>
          </w:p>
        </w:tc>
        <w:tc>
          <w:tcPr>
            <w:tcW w:w="2285"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112" w:right="0" w:firstLine="0"/>
              <w:jc w:val="center"/>
            </w:pPr>
            <w:r>
              <w:t xml:space="preserve">115 </w:t>
            </w:r>
          </w:p>
        </w:tc>
        <w:tc>
          <w:tcPr>
            <w:tcW w:w="2393"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111" w:right="0" w:firstLine="0"/>
              <w:jc w:val="center"/>
            </w:pPr>
            <w:r>
              <w:t xml:space="preserve">57,21% </w:t>
            </w:r>
          </w:p>
        </w:tc>
      </w:tr>
      <w:tr w:rsidR="000A3DBC">
        <w:trPr>
          <w:trHeight w:val="439"/>
        </w:trPr>
        <w:tc>
          <w:tcPr>
            <w:tcW w:w="3687"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0" w:right="0" w:firstLine="0"/>
              <w:jc w:val="left"/>
            </w:pPr>
            <w:r>
              <w:t xml:space="preserve">Total </w:t>
            </w:r>
          </w:p>
        </w:tc>
        <w:tc>
          <w:tcPr>
            <w:tcW w:w="2285"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112" w:right="0" w:firstLine="0"/>
              <w:jc w:val="center"/>
            </w:pPr>
            <w:r>
              <w:t xml:space="preserve">201 </w:t>
            </w:r>
          </w:p>
        </w:tc>
        <w:tc>
          <w:tcPr>
            <w:tcW w:w="2393"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109" w:right="0" w:firstLine="0"/>
              <w:jc w:val="center"/>
            </w:pPr>
            <w:r>
              <w:t xml:space="preserve">100,00% </w:t>
            </w:r>
          </w:p>
        </w:tc>
      </w:tr>
      <w:tr w:rsidR="000A3DBC">
        <w:trPr>
          <w:trHeight w:val="434"/>
        </w:trPr>
        <w:tc>
          <w:tcPr>
            <w:tcW w:w="3687"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0" w:right="0" w:firstLine="0"/>
              <w:jc w:val="left"/>
            </w:pPr>
            <w:r>
              <w:rPr>
                <w:b/>
              </w:rPr>
              <w:t xml:space="preserve">Penghasilan perbulan </w:t>
            </w:r>
          </w:p>
        </w:tc>
        <w:tc>
          <w:tcPr>
            <w:tcW w:w="2285"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114" w:right="0" w:firstLine="0"/>
              <w:jc w:val="center"/>
            </w:pPr>
            <w:r>
              <w:rPr>
                <w:b/>
              </w:rPr>
              <w:t xml:space="preserve">Frekuensi </w:t>
            </w:r>
          </w:p>
        </w:tc>
        <w:tc>
          <w:tcPr>
            <w:tcW w:w="2393"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110" w:right="0" w:firstLine="0"/>
              <w:jc w:val="center"/>
            </w:pPr>
            <w:r>
              <w:rPr>
                <w:b/>
              </w:rPr>
              <w:t xml:space="preserve">Persentase </w:t>
            </w:r>
          </w:p>
        </w:tc>
      </w:tr>
      <w:tr w:rsidR="000A3DBC">
        <w:trPr>
          <w:trHeight w:val="444"/>
        </w:trPr>
        <w:tc>
          <w:tcPr>
            <w:tcW w:w="3687"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0" w:right="0" w:firstLine="0"/>
              <w:jc w:val="left"/>
            </w:pPr>
            <w:r>
              <w:t xml:space="preserve">&lt; 30,000,000 </w:t>
            </w:r>
          </w:p>
        </w:tc>
        <w:tc>
          <w:tcPr>
            <w:tcW w:w="2285"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112" w:right="0" w:firstLine="0"/>
              <w:jc w:val="center"/>
            </w:pPr>
            <w:r>
              <w:t xml:space="preserve">194 </w:t>
            </w:r>
          </w:p>
        </w:tc>
        <w:tc>
          <w:tcPr>
            <w:tcW w:w="2393"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111" w:right="0" w:firstLine="0"/>
              <w:jc w:val="center"/>
            </w:pPr>
            <w:r>
              <w:t xml:space="preserve">96,52% </w:t>
            </w:r>
          </w:p>
        </w:tc>
      </w:tr>
      <w:tr w:rsidR="000A3DBC">
        <w:trPr>
          <w:trHeight w:val="442"/>
        </w:trPr>
        <w:tc>
          <w:tcPr>
            <w:tcW w:w="3687"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0" w:right="0" w:firstLine="0"/>
              <w:jc w:val="left"/>
            </w:pPr>
            <w:r>
              <w:t xml:space="preserve">30,000,000 - 50,000,000 </w:t>
            </w:r>
          </w:p>
        </w:tc>
        <w:tc>
          <w:tcPr>
            <w:tcW w:w="2285"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129" w:right="0" w:firstLine="0"/>
              <w:jc w:val="center"/>
            </w:pPr>
            <w:r>
              <w:t xml:space="preserve">6 </w:t>
            </w:r>
          </w:p>
        </w:tc>
        <w:tc>
          <w:tcPr>
            <w:tcW w:w="2393"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126" w:right="0" w:firstLine="0"/>
              <w:jc w:val="center"/>
            </w:pPr>
            <w:r>
              <w:t xml:space="preserve">2,99% </w:t>
            </w:r>
          </w:p>
        </w:tc>
      </w:tr>
      <w:tr w:rsidR="000A3DBC">
        <w:trPr>
          <w:trHeight w:val="432"/>
        </w:trPr>
        <w:tc>
          <w:tcPr>
            <w:tcW w:w="3687"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0" w:right="0" w:firstLine="0"/>
              <w:jc w:val="left"/>
            </w:pPr>
            <w:r>
              <w:t xml:space="preserve">&gt; 50,000,000 </w:t>
            </w:r>
          </w:p>
        </w:tc>
        <w:tc>
          <w:tcPr>
            <w:tcW w:w="2285"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115" w:right="0" w:firstLine="0"/>
              <w:jc w:val="center"/>
            </w:pPr>
            <w:r>
              <w:t xml:space="preserve">1 </w:t>
            </w:r>
          </w:p>
        </w:tc>
        <w:tc>
          <w:tcPr>
            <w:tcW w:w="2393"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111" w:right="0" w:firstLine="0"/>
              <w:jc w:val="center"/>
            </w:pPr>
            <w:r>
              <w:t xml:space="preserve">9,50% </w:t>
            </w:r>
          </w:p>
        </w:tc>
      </w:tr>
      <w:tr w:rsidR="000A3DBC">
        <w:trPr>
          <w:trHeight w:val="446"/>
        </w:trPr>
        <w:tc>
          <w:tcPr>
            <w:tcW w:w="3687"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0" w:right="0" w:firstLine="0"/>
              <w:jc w:val="left"/>
            </w:pPr>
            <w:r>
              <w:t xml:space="preserve">Total </w:t>
            </w:r>
          </w:p>
        </w:tc>
        <w:tc>
          <w:tcPr>
            <w:tcW w:w="2285"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112" w:right="0" w:firstLine="0"/>
              <w:jc w:val="center"/>
            </w:pPr>
            <w:r>
              <w:t xml:space="preserve">201 </w:t>
            </w:r>
          </w:p>
        </w:tc>
        <w:tc>
          <w:tcPr>
            <w:tcW w:w="2393"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109" w:right="0" w:firstLine="0"/>
              <w:jc w:val="center"/>
            </w:pPr>
            <w:r>
              <w:t xml:space="preserve">100,00% </w:t>
            </w:r>
          </w:p>
        </w:tc>
      </w:tr>
    </w:tbl>
    <w:p w:rsidR="000A3DBC" w:rsidRDefault="00FF7768">
      <w:pPr>
        <w:spacing w:after="112" w:line="259" w:lineRule="auto"/>
        <w:ind w:left="286" w:right="0" w:firstLine="0"/>
        <w:jc w:val="left"/>
      </w:pPr>
      <w:r>
        <w:t xml:space="preserve"> </w:t>
      </w:r>
    </w:p>
    <w:p w:rsidR="000A3DBC" w:rsidRDefault="00FF7768">
      <w:pPr>
        <w:ind w:left="-15" w:right="299" w:firstLine="286"/>
      </w:pPr>
      <w:r>
        <w:t xml:space="preserve">Berdasarkan data dari Tabel 2, terdapat beberapa kesimpulan mengenai profil 201 responden. Pertama, mayoritas responden berasal dari wilayah Papua dan Maluku dengan beberapa di antaranya juga berasal dari bagian Indonesia Barat dan Tengah lainnya. Kedua, responden umumnya berusia antara 17 hingga 50 tahun, dengan kategori usia 17-34 tahun menunjukkan persentase terbesar. Ketiga, tingkat pendidikan responden mayoritas adalah Sarjana Strata 1 (S1), diikuti oleh SMA, D3, S2, dan S3 secara berurutan. Keempat, terdapat </w:t>
      </w:r>
      <w:r>
        <w:lastRenderedPageBreak/>
        <w:t xml:space="preserve">lebih banyak responden perempuan dibandingkan laki-laki, dengan persentase perempuan mencapai 57,21%. Terakhir, sebagian besar responden memiliki penghasilan bulanan kurang dari Rp30.000.000,00. </w:t>
      </w:r>
    </w:p>
    <w:p w:rsidR="000A3DBC" w:rsidRDefault="00FF7768">
      <w:pPr>
        <w:ind w:left="-15" w:right="299" w:firstLine="286"/>
      </w:pPr>
      <w:r>
        <w:t xml:space="preserve">Pada model pengukuran yang terdapat di Tabel 3, ditampilkan koefisien untuk </w:t>
      </w:r>
      <w:r>
        <w:rPr>
          <w:i/>
        </w:rPr>
        <w:t>Cronbach’s Alpha (CA)</w:t>
      </w:r>
      <w:r>
        <w:t xml:space="preserve">, </w:t>
      </w:r>
      <w:r>
        <w:rPr>
          <w:i/>
        </w:rPr>
        <w:t xml:space="preserve">Composite Reliability (CR) </w:t>
      </w:r>
      <w:r>
        <w:t xml:space="preserve">dan </w:t>
      </w:r>
      <w:r>
        <w:rPr>
          <w:i/>
        </w:rPr>
        <w:t xml:space="preserve">Average Variance Extracted (AVE) </w:t>
      </w:r>
      <w:r>
        <w:t xml:space="preserve">dari setiap variabel yang ada di kerangka penelitian. </w:t>
      </w:r>
    </w:p>
    <w:p w:rsidR="000A3DBC" w:rsidRDefault="00FF7768" w:rsidP="00937CB8">
      <w:pPr>
        <w:spacing w:after="112" w:line="259" w:lineRule="auto"/>
        <w:ind w:left="286" w:right="0" w:firstLine="0"/>
        <w:jc w:val="left"/>
      </w:pPr>
      <w:r>
        <w:t xml:space="preserve"> </w:t>
      </w:r>
      <w:bookmarkStart w:id="0" w:name="_GoBack"/>
      <w:bookmarkEnd w:id="0"/>
    </w:p>
    <w:p w:rsidR="000A3DBC" w:rsidRDefault="00FF7768" w:rsidP="007B00F4">
      <w:pPr>
        <w:spacing w:line="259" w:lineRule="auto"/>
        <w:ind w:left="0" w:right="299"/>
      </w:pPr>
      <w:r>
        <w:rPr>
          <w:b/>
        </w:rPr>
        <w:t xml:space="preserve">Tabel 3. </w:t>
      </w:r>
      <w:r>
        <w:t xml:space="preserve">Model Pengukuran </w:t>
      </w:r>
    </w:p>
    <w:tbl>
      <w:tblPr>
        <w:tblStyle w:val="TableGrid"/>
        <w:tblW w:w="8253" w:type="dxa"/>
        <w:tblInd w:w="0" w:type="dxa"/>
        <w:tblCellMar>
          <w:top w:w="62" w:type="dxa"/>
          <w:left w:w="115" w:type="dxa"/>
          <w:right w:w="115" w:type="dxa"/>
        </w:tblCellMar>
        <w:tblLook w:val="04A0" w:firstRow="1" w:lastRow="0" w:firstColumn="1" w:lastColumn="0" w:noHBand="0" w:noVBand="1"/>
      </w:tblPr>
      <w:tblGrid>
        <w:gridCol w:w="2151"/>
        <w:gridCol w:w="2141"/>
        <w:gridCol w:w="2120"/>
        <w:gridCol w:w="1841"/>
      </w:tblGrid>
      <w:tr w:rsidR="000A3DBC">
        <w:trPr>
          <w:trHeight w:val="434"/>
        </w:trPr>
        <w:tc>
          <w:tcPr>
            <w:tcW w:w="2151"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16" w:right="0" w:firstLine="0"/>
              <w:jc w:val="center"/>
            </w:pPr>
            <w:r>
              <w:rPr>
                <w:b/>
              </w:rPr>
              <w:t xml:space="preserve">Model </w:t>
            </w:r>
          </w:p>
        </w:tc>
        <w:tc>
          <w:tcPr>
            <w:tcW w:w="2141"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7" w:right="0" w:firstLine="0"/>
              <w:jc w:val="center"/>
            </w:pPr>
            <w:r>
              <w:rPr>
                <w:b/>
              </w:rPr>
              <w:t xml:space="preserve">CA </w:t>
            </w:r>
          </w:p>
        </w:tc>
        <w:tc>
          <w:tcPr>
            <w:tcW w:w="2120"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14" w:right="0" w:firstLine="0"/>
              <w:jc w:val="center"/>
            </w:pPr>
            <w:r>
              <w:rPr>
                <w:b/>
              </w:rPr>
              <w:t xml:space="preserve">CR </w:t>
            </w:r>
          </w:p>
        </w:tc>
        <w:tc>
          <w:tcPr>
            <w:tcW w:w="1841"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25" w:right="0" w:firstLine="0"/>
              <w:jc w:val="center"/>
            </w:pPr>
            <w:r>
              <w:rPr>
                <w:b/>
              </w:rPr>
              <w:t xml:space="preserve">AVE </w:t>
            </w:r>
          </w:p>
        </w:tc>
      </w:tr>
      <w:tr w:rsidR="000A3DBC">
        <w:trPr>
          <w:trHeight w:val="444"/>
        </w:trPr>
        <w:tc>
          <w:tcPr>
            <w:tcW w:w="2151"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20" w:right="0" w:firstLine="0"/>
              <w:jc w:val="center"/>
            </w:pPr>
            <w:r>
              <w:t xml:space="preserve">TP </w:t>
            </w:r>
          </w:p>
        </w:tc>
        <w:tc>
          <w:tcPr>
            <w:tcW w:w="2141"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8" w:right="0" w:firstLine="0"/>
              <w:jc w:val="center"/>
            </w:pPr>
            <w:r>
              <w:t xml:space="preserve">0,919 </w:t>
            </w:r>
          </w:p>
        </w:tc>
        <w:tc>
          <w:tcPr>
            <w:tcW w:w="2120"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11" w:right="0" w:firstLine="0"/>
              <w:jc w:val="center"/>
            </w:pPr>
            <w:r>
              <w:t xml:space="preserve">0,943 </w:t>
            </w:r>
          </w:p>
        </w:tc>
        <w:tc>
          <w:tcPr>
            <w:tcW w:w="1841"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26" w:right="0" w:firstLine="0"/>
              <w:jc w:val="center"/>
            </w:pPr>
            <w:r>
              <w:t xml:space="preserve">0,804 </w:t>
            </w:r>
          </w:p>
        </w:tc>
      </w:tr>
      <w:tr w:rsidR="000A3DBC">
        <w:trPr>
          <w:trHeight w:val="442"/>
        </w:trPr>
        <w:tc>
          <w:tcPr>
            <w:tcW w:w="2151"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31" w:right="0" w:firstLine="0"/>
              <w:jc w:val="center"/>
            </w:pPr>
            <w:r>
              <w:t xml:space="preserve">GA </w:t>
            </w:r>
          </w:p>
        </w:tc>
        <w:tc>
          <w:tcPr>
            <w:tcW w:w="2141"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23" w:right="0" w:firstLine="0"/>
              <w:jc w:val="center"/>
            </w:pPr>
            <w:r>
              <w:t xml:space="preserve">0,938 </w:t>
            </w:r>
          </w:p>
        </w:tc>
        <w:tc>
          <w:tcPr>
            <w:tcW w:w="2120"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26" w:right="0" w:firstLine="0"/>
              <w:jc w:val="center"/>
            </w:pPr>
            <w:r>
              <w:t xml:space="preserve">0,955 </w:t>
            </w:r>
          </w:p>
        </w:tc>
        <w:tc>
          <w:tcPr>
            <w:tcW w:w="1841"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40" w:right="0" w:firstLine="0"/>
              <w:jc w:val="center"/>
            </w:pPr>
            <w:r>
              <w:t xml:space="preserve">0,843 </w:t>
            </w:r>
          </w:p>
        </w:tc>
      </w:tr>
      <w:tr w:rsidR="000A3DBC">
        <w:trPr>
          <w:trHeight w:val="432"/>
        </w:trPr>
        <w:tc>
          <w:tcPr>
            <w:tcW w:w="2151"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17" w:right="0" w:firstLine="0"/>
              <w:jc w:val="center"/>
            </w:pPr>
            <w:r>
              <w:t xml:space="preserve">WP </w:t>
            </w:r>
          </w:p>
        </w:tc>
        <w:tc>
          <w:tcPr>
            <w:tcW w:w="2141"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8" w:right="0" w:firstLine="0"/>
              <w:jc w:val="center"/>
            </w:pPr>
            <w:r>
              <w:t xml:space="preserve">0,876 </w:t>
            </w:r>
          </w:p>
        </w:tc>
        <w:tc>
          <w:tcPr>
            <w:tcW w:w="2120"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11" w:right="0" w:firstLine="0"/>
              <w:jc w:val="center"/>
            </w:pPr>
            <w:r>
              <w:t xml:space="preserve">0,917 </w:t>
            </w:r>
          </w:p>
        </w:tc>
        <w:tc>
          <w:tcPr>
            <w:tcW w:w="1841"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26" w:right="0" w:firstLine="0"/>
              <w:jc w:val="center"/>
            </w:pPr>
            <w:r>
              <w:t xml:space="preserve">0,737 </w:t>
            </w:r>
          </w:p>
        </w:tc>
      </w:tr>
    </w:tbl>
    <w:p w:rsidR="000A3DBC" w:rsidRDefault="00FF7768">
      <w:pPr>
        <w:ind w:left="-15" w:right="299" w:firstLine="720"/>
      </w:pPr>
      <w:r>
        <w:t xml:space="preserve">Pada Tabel 3, model pengukuran dianalisis menggunakan beberapa ukuran statistik untuk menilai kualitas dan keandalan instrumen. </w:t>
      </w:r>
      <w:r>
        <w:rPr>
          <w:i/>
        </w:rPr>
        <w:t xml:space="preserve">Cronbach’s Alpha </w:t>
      </w:r>
      <w:r>
        <w:t xml:space="preserve">(CA) digunakan untuk mengukur konsistensi internal, dengan nilai tinggi menunjukkan bahwa variabel-variabel tersebut saling berkorelasi dengan baik dan mengukur konstruk yang sama. Dalam analisis ini, </w:t>
      </w:r>
      <w:r>
        <w:rPr>
          <w:i/>
        </w:rPr>
        <w:t xml:space="preserve">Cronbach’s Alpha </w:t>
      </w:r>
      <w:r>
        <w:t xml:space="preserve">(CA) untuk variabel TP dan GA menunjukkan nilai yang tinggi, mengindikasikan konsistensi internal yang memadai. Sebaliknya, nilai </w:t>
      </w:r>
      <w:r>
        <w:rPr>
          <w:i/>
        </w:rPr>
        <w:t xml:space="preserve">Cronbach’s Alpha </w:t>
      </w:r>
      <w:r>
        <w:t xml:space="preserve">(CA) untuk variabel WP sedikit lebih rendah dibandingkan variabel lainnya, namun masih dalam rentang yang dapat diterima. </w:t>
      </w:r>
      <w:r>
        <w:rPr>
          <w:i/>
        </w:rPr>
        <w:t xml:space="preserve">Composite Reliability </w:t>
      </w:r>
      <w:r>
        <w:t xml:space="preserve">(CR) digunakan untuk menilai reliabilitas keseluruhan dari variabel dalam model, dan hasil </w:t>
      </w:r>
      <w:r>
        <w:rPr>
          <w:i/>
        </w:rPr>
        <w:t xml:space="preserve">Composite Reliability </w:t>
      </w:r>
      <w:r>
        <w:t xml:space="preserve">(CR) menunjukkan bahwa reliabilitas variabel-variabel tersebut sangat baik. Selain itu, nilai Average Variance Extracted (AVE) menunjukkan validitas konvergen yang baik, menandakan bahwa sebagian besar varians dalam data dapat dijelaskan oleh konstruk yang diukur. </w:t>
      </w:r>
    </w:p>
    <w:p w:rsidR="000A3DBC" w:rsidRDefault="00FF7768">
      <w:pPr>
        <w:spacing w:after="131" w:line="259" w:lineRule="auto"/>
        <w:ind w:left="720" w:right="0" w:firstLine="0"/>
        <w:jc w:val="left"/>
      </w:pPr>
      <w:r>
        <w:t xml:space="preserve"> </w:t>
      </w:r>
    </w:p>
    <w:p w:rsidR="000A3DBC" w:rsidRDefault="00FF7768">
      <w:pPr>
        <w:pStyle w:val="Heading1"/>
        <w:spacing w:after="0"/>
        <w:ind w:left="364" w:right="660"/>
      </w:pPr>
      <w:r>
        <w:lastRenderedPageBreak/>
        <w:t xml:space="preserve">PENGUJIAN HIPOTESIS </w:t>
      </w:r>
    </w:p>
    <w:p w:rsidR="000A3DBC" w:rsidRDefault="00FF7768">
      <w:pPr>
        <w:spacing w:after="44" w:line="259" w:lineRule="auto"/>
        <w:ind w:left="1306" w:right="0" w:firstLine="0"/>
        <w:jc w:val="left"/>
      </w:pPr>
      <w:r>
        <w:rPr>
          <w:noProof/>
        </w:rPr>
        <w:drawing>
          <wp:inline distT="0" distB="0" distL="0" distR="0">
            <wp:extent cx="3886200" cy="2089785"/>
            <wp:effectExtent l="0" t="0" r="0" b="0"/>
            <wp:docPr id="1366" name="Picture 1366"/>
            <wp:cNvGraphicFramePr/>
            <a:graphic xmlns:a="http://schemas.openxmlformats.org/drawingml/2006/main">
              <a:graphicData uri="http://schemas.openxmlformats.org/drawingml/2006/picture">
                <pic:pic xmlns:pic="http://schemas.openxmlformats.org/drawingml/2006/picture">
                  <pic:nvPicPr>
                    <pic:cNvPr id="1366" name="Picture 1366"/>
                    <pic:cNvPicPr/>
                  </pic:nvPicPr>
                  <pic:blipFill>
                    <a:blip r:embed="rId7"/>
                    <a:stretch>
                      <a:fillRect/>
                    </a:stretch>
                  </pic:blipFill>
                  <pic:spPr>
                    <a:xfrm>
                      <a:off x="0" y="0"/>
                      <a:ext cx="3886200" cy="2089785"/>
                    </a:xfrm>
                    <a:prstGeom prst="rect">
                      <a:avLst/>
                    </a:prstGeom>
                  </pic:spPr>
                </pic:pic>
              </a:graphicData>
            </a:graphic>
          </wp:inline>
        </w:drawing>
      </w:r>
    </w:p>
    <w:p w:rsidR="000A3DBC" w:rsidRDefault="00FF7768">
      <w:pPr>
        <w:spacing w:after="127" w:line="259" w:lineRule="auto"/>
        <w:ind w:left="0" w:right="0" w:firstLine="0"/>
        <w:jc w:val="left"/>
      </w:pPr>
      <w:r>
        <w:rPr>
          <w:b/>
        </w:rPr>
        <w:t xml:space="preserve"> </w:t>
      </w:r>
    </w:p>
    <w:p w:rsidR="000A3DBC" w:rsidRDefault="00FF7768">
      <w:pPr>
        <w:tabs>
          <w:tab w:val="center" w:pos="286"/>
          <w:tab w:val="center" w:pos="720"/>
          <w:tab w:val="center" w:pos="1440"/>
          <w:tab w:val="center" w:pos="2161"/>
          <w:tab w:val="center" w:pos="4382"/>
        </w:tabs>
        <w:spacing w:after="112" w:line="259" w:lineRule="auto"/>
        <w:ind w:left="0" w:right="0" w:firstLine="0"/>
        <w:jc w:val="left"/>
      </w:pPr>
      <w:r>
        <w:tab/>
        <w:t xml:space="preserve"> </w:t>
      </w:r>
      <w:r>
        <w:tab/>
        <w:t xml:space="preserve"> </w:t>
      </w:r>
      <w:r>
        <w:tab/>
        <w:t xml:space="preserve"> </w:t>
      </w:r>
      <w:r>
        <w:tab/>
        <w:t xml:space="preserve"> </w:t>
      </w:r>
      <w:r>
        <w:tab/>
      </w:r>
      <w:r>
        <w:rPr>
          <w:b/>
        </w:rPr>
        <w:t>Gambar 2</w:t>
      </w:r>
      <w:r>
        <w:t xml:space="preserve">. Hasil Model Penelitian </w:t>
      </w:r>
    </w:p>
    <w:p w:rsidR="000A3DBC" w:rsidRDefault="00FF7768">
      <w:pPr>
        <w:ind w:left="-15" w:right="299" w:firstLine="286"/>
      </w:pPr>
      <w:r>
        <w:t xml:space="preserve">Gambar 2 menunjukkan representasi visual dari hasil model penelitian ini. Nilai </w:t>
      </w:r>
      <w:r>
        <w:rPr>
          <w:i/>
        </w:rPr>
        <w:t xml:space="preserve">R-squared </w:t>
      </w:r>
      <w:r>
        <w:t xml:space="preserve">adalah ukuran statistik yang merepresentasikan seberapa baik variabel independen menjelaskan variabel dependen. Nilai </w:t>
      </w:r>
      <w:r>
        <w:rPr>
          <w:i/>
        </w:rPr>
        <w:t xml:space="preserve">R-squared </w:t>
      </w:r>
      <w:r>
        <w:t xml:space="preserve">memberikan gambaran tentang proporsi varians yang dijelaskan oleh model, yang dalam model ini 0,56 untuk GA dan 0,59 untuk WP. </w:t>
      </w:r>
    </w:p>
    <w:p w:rsidR="007B00F4" w:rsidRDefault="00FF7768">
      <w:pPr>
        <w:spacing w:line="259" w:lineRule="auto"/>
        <w:ind w:left="-5" w:right="299"/>
      </w:pPr>
      <w:r>
        <w:t xml:space="preserve">Selain itu setiap jalur dalam model penelitian ini juga disertai dengan koefisien dan p-values yang menunjukkan kekuatan dan signifikansi statistik hubungan antar variabel. Pengujian hipotesis sendiri ditampilkan pada Tabel 4. </w:t>
      </w:r>
    </w:p>
    <w:p w:rsidR="007B00F4" w:rsidRDefault="007B00F4">
      <w:pPr>
        <w:spacing w:line="259" w:lineRule="auto"/>
        <w:ind w:left="-5" w:right="299"/>
      </w:pPr>
    </w:p>
    <w:p w:rsidR="000A3DBC" w:rsidRDefault="00FF7768">
      <w:pPr>
        <w:spacing w:line="259" w:lineRule="auto"/>
        <w:ind w:left="-5" w:right="299"/>
      </w:pPr>
      <w:r>
        <w:rPr>
          <w:b/>
        </w:rPr>
        <w:t xml:space="preserve">Tabel 4. </w:t>
      </w:r>
      <w:r>
        <w:t xml:space="preserve">Pengujian Hipotesis </w:t>
      </w:r>
    </w:p>
    <w:tbl>
      <w:tblPr>
        <w:tblStyle w:val="TableGrid"/>
        <w:tblW w:w="8253" w:type="dxa"/>
        <w:tblInd w:w="0" w:type="dxa"/>
        <w:tblCellMar>
          <w:top w:w="70" w:type="dxa"/>
          <w:left w:w="115" w:type="dxa"/>
          <w:right w:w="115" w:type="dxa"/>
        </w:tblCellMar>
        <w:tblLook w:val="04A0" w:firstRow="1" w:lastRow="0" w:firstColumn="1" w:lastColumn="0" w:noHBand="0" w:noVBand="1"/>
      </w:tblPr>
      <w:tblGrid>
        <w:gridCol w:w="2127"/>
        <w:gridCol w:w="1985"/>
        <w:gridCol w:w="2127"/>
        <w:gridCol w:w="2014"/>
      </w:tblGrid>
      <w:tr w:rsidR="000A3DBC">
        <w:trPr>
          <w:trHeight w:val="439"/>
        </w:trPr>
        <w:tc>
          <w:tcPr>
            <w:tcW w:w="2127"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20" w:right="0" w:firstLine="0"/>
              <w:jc w:val="center"/>
            </w:pPr>
            <w:r>
              <w:rPr>
                <w:b/>
              </w:rPr>
              <w:t xml:space="preserve">Hipotesis </w:t>
            </w:r>
          </w:p>
        </w:tc>
        <w:tc>
          <w:tcPr>
            <w:tcW w:w="1985"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27" w:right="0" w:firstLine="0"/>
              <w:jc w:val="center"/>
            </w:pPr>
            <w:r>
              <w:rPr>
                <w:b/>
              </w:rPr>
              <w:t xml:space="preserve">Koefisien </w:t>
            </w:r>
          </w:p>
        </w:tc>
        <w:tc>
          <w:tcPr>
            <w:tcW w:w="2127"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30" w:right="0" w:firstLine="0"/>
              <w:jc w:val="center"/>
            </w:pPr>
            <w:r>
              <w:rPr>
                <w:b/>
              </w:rPr>
              <w:t xml:space="preserve">p-values </w:t>
            </w:r>
          </w:p>
        </w:tc>
        <w:tc>
          <w:tcPr>
            <w:tcW w:w="2014"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14" w:right="0" w:firstLine="0"/>
              <w:jc w:val="center"/>
            </w:pPr>
            <w:r>
              <w:rPr>
                <w:b/>
              </w:rPr>
              <w:t xml:space="preserve">H0 </w:t>
            </w:r>
          </w:p>
        </w:tc>
      </w:tr>
      <w:tr w:rsidR="000A3DBC">
        <w:trPr>
          <w:trHeight w:val="451"/>
        </w:trPr>
        <w:tc>
          <w:tcPr>
            <w:tcW w:w="2127"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22" w:right="0" w:firstLine="0"/>
              <w:jc w:val="center"/>
            </w:pPr>
            <w:r>
              <w:t xml:space="preserve">TP → WP </w:t>
            </w:r>
          </w:p>
        </w:tc>
        <w:tc>
          <w:tcPr>
            <w:tcW w:w="1985"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30" w:right="0" w:firstLine="0"/>
              <w:jc w:val="center"/>
            </w:pPr>
            <w:r>
              <w:t xml:space="preserve">0.257 </w:t>
            </w:r>
          </w:p>
        </w:tc>
        <w:tc>
          <w:tcPr>
            <w:tcW w:w="2127"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28" w:right="0" w:firstLine="0"/>
              <w:jc w:val="center"/>
            </w:pPr>
            <w:r>
              <w:t xml:space="preserve">&lt;0.001 </w:t>
            </w:r>
          </w:p>
        </w:tc>
        <w:tc>
          <w:tcPr>
            <w:tcW w:w="2014"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17" w:right="0" w:firstLine="0"/>
              <w:jc w:val="center"/>
            </w:pPr>
            <w:r>
              <w:t xml:space="preserve">Accepted </w:t>
            </w:r>
          </w:p>
        </w:tc>
      </w:tr>
      <w:tr w:rsidR="000A3DBC">
        <w:trPr>
          <w:trHeight w:val="442"/>
        </w:trPr>
        <w:tc>
          <w:tcPr>
            <w:tcW w:w="2127"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34" w:right="0" w:firstLine="0"/>
              <w:jc w:val="center"/>
            </w:pPr>
            <w:r>
              <w:t xml:space="preserve">GA → WP </w:t>
            </w:r>
          </w:p>
        </w:tc>
        <w:tc>
          <w:tcPr>
            <w:tcW w:w="1985"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30" w:right="0" w:firstLine="0"/>
              <w:jc w:val="center"/>
            </w:pPr>
            <w:r>
              <w:t xml:space="preserve">0.552 </w:t>
            </w:r>
          </w:p>
        </w:tc>
        <w:tc>
          <w:tcPr>
            <w:tcW w:w="2127"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47" w:right="0" w:firstLine="0"/>
              <w:jc w:val="center"/>
            </w:pPr>
            <w:r>
              <w:t xml:space="preserve">&lt;0.001 </w:t>
            </w:r>
          </w:p>
        </w:tc>
        <w:tc>
          <w:tcPr>
            <w:tcW w:w="2014"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31" w:right="0" w:firstLine="0"/>
              <w:jc w:val="center"/>
            </w:pPr>
            <w:r>
              <w:t xml:space="preserve">Accepted </w:t>
            </w:r>
          </w:p>
        </w:tc>
      </w:tr>
      <w:tr w:rsidR="000A3DBC">
        <w:trPr>
          <w:trHeight w:val="452"/>
        </w:trPr>
        <w:tc>
          <w:tcPr>
            <w:tcW w:w="2127"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38" w:right="0" w:firstLine="0"/>
              <w:jc w:val="center"/>
            </w:pPr>
            <w:r>
              <w:t xml:space="preserve">TP → GA </w:t>
            </w:r>
          </w:p>
        </w:tc>
        <w:tc>
          <w:tcPr>
            <w:tcW w:w="1985"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30" w:right="0" w:firstLine="0"/>
              <w:jc w:val="center"/>
            </w:pPr>
            <w:r>
              <w:t xml:space="preserve">0.751 </w:t>
            </w:r>
          </w:p>
        </w:tc>
        <w:tc>
          <w:tcPr>
            <w:tcW w:w="2127"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47" w:right="0" w:firstLine="0"/>
              <w:jc w:val="center"/>
            </w:pPr>
            <w:r>
              <w:t xml:space="preserve">&lt;0.001 </w:t>
            </w:r>
          </w:p>
        </w:tc>
        <w:tc>
          <w:tcPr>
            <w:tcW w:w="2014"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31" w:right="0" w:firstLine="0"/>
              <w:jc w:val="center"/>
            </w:pPr>
            <w:r>
              <w:t xml:space="preserve">Accepted </w:t>
            </w:r>
          </w:p>
        </w:tc>
      </w:tr>
      <w:tr w:rsidR="000A3DBC">
        <w:trPr>
          <w:trHeight w:val="442"/>
        </w:trPr>
        <w:tc>
          <w:tcPr>
            <w:tcW w:w="2127"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36" w:right="0" w:firstLine="0"/>
              <w:jc w:val="center"/>
            </w:pPr>
            <w:r>
              <w:t xml:space="preserve">TP → GA → WP </w:t>
            </w:r>
          </w:p>
        </w:tc>
        <w:tc>
          <w:tcPr>
            <w:tcW w:w="1985"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30" w:right="0" w:firstLine="0"/>
              <w:jc w:val="center"/>
            </w:pPr>
            <w:r>
              <w:t xml:space="preserve">0.414 </w:t>
            </w:r>
          </w:p>
        </w:tc>
        <w:tc>
          <w:tcPr>
            <w:tcW w:w="2127"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47" w:right="0" w:firstLine="0"/>
              <w:jc w:val="center"/>
            </w:pPr>
            <w:r>
              <w:t xml:space="preserve">&lt;0.001 </w:t>
            </w:r>
          </w:p>
        </w:tc>
        <w:tc>
          <w:tcPr>
            <w:tcW w:w="2014" w:type="dxa"/>
            <w:tcBorders>
              <w:top w:val="single" w:sz="8" w:space="0" w:color="000000"/>
              <w:left w:val="single" w:sz="8" w:space="0" w:color="000000"/>
              <w:bottom w:val="single" w:sz="8" w:space="0" w:color="000000"/>
              <w:right w:val="single" w:sz="8" w:space="0" w:color="000000"/>
            </w:tcBorders>
          </w:tcPr>
          <w:p w:rsidR="000A3DBC" w:rsidRDefault="00FF7768">
            <w:pPr>
              <w:spacing w:after="0" w:line="259" w:lineRule="auto"/>
              <w:ind w:left="31" w:right="0" w:firstLine="0"/>
              <w:jc w:val="center"/>
            </w:pPr>
            <w:r>
              <w:t xml:space="preserve">Accepted </w:t>
            </w:r>
          </w:p>
        </w:tc>
      </w:tr>
    </w:tbl>
    <w:p w:rsidR="000A3DBC" w:rsidRDefault="00FF7768">
      <w:pPr>
        <w:spacing w:after="112" w:line="259" w:lineRule="auto"/>
        <w:ind w:left="0" w:right="0" w:firstLine="0"/>
        <w:jc w:val="left"/>
      </w:pPr>
      <w:r>
        <w:t xml:space="preserve"> </w:t>
      </w:r>
    </w:p>
    <w:p w:rsidR="000A3DBC" w:rsidRDefault="00FF7768">
      <w:pPr>
        <w:ind w:left="-15" w:right="299" w:firstLine="720"/>
      </w:pPr>
      <w:r>
        <w:t xml:space="preserve">Setelah dievaluasi, semua hipotesis yang diajukan dapat diterima sesuai dengan perhitungan </w:t>
      </w:r>
      <w:r>
        <w:rPr>
          <w:i/>
        </w:rPr>
        <w:t xml:space="preserve">p-values </w:t>
      </w:r>
      <w:r>
        <w:t xml:space="preserve">yang menunjukkan semua hubungan signifikan secara statistik. Penerimaan hipotesis ini mengkonfirmasi beberapa penelitian sebelumnya yang berhubungan dengan topik ini. </w:t>
      </w:r>
    </w:p>
    <w:p w:rsidR="000A3DBC" w:rsidRDefault="00FF7768">
      <w:pPr>
        <w:ind w:left="-15" w:right="299" w:firstLine="720"/>
      </w:pPr>
      <w:r>
        <w:t xml:space="preserve">Berdasarkan hasil pengujian hipotesis, TP memiliki pengaruh yang signifikan secara statistik terhadap WP. Ini menunjukkan bahwa kebijakan pemerintah dalam bentuk insentif keuangan dan pajak mampu secara substansial meningkatkan persepsi positif konsumen </w:t>
      </w:r>
      <w:r>
        <w:lastRenderedPageBreak/>
        <w:t xml:space="preserve">terhadap kendaraan listrik, yang hingga saat ini masih dalam tahap pengenalan kepada masyarakat luas (Zhang et al., 2018). Analisis loading faktor mengindikasikan bahwa pembebasan pajak untuk kendaraan listrik merupakan faktor paling dominan yang mempengaruhi niat konsumen untuk membeli kendaraan listrik, dengan nilai 0,914. Selain itu, subsidi pemerintah juga menjadi faktor signifikan dengan nilai 0,902, yang mempercepat adopsi kendaraan listrik di kalangan konsumen (Xue et al., 2023; Wang et al., 2021; Ansab &amp; Kumar, 2022). Secara konseptual, kebijakan insentif pajak dan keuangan berfungsi memberikan kepastian bagi konsumen serta mengurangi ketidakpastian dan kebingungan terkait inovasi teknologi transportasi masa depan. Dengan demikian, insentif ini tidak hanya memotivasi konsumen untuk beralih ke kendaraan yang lebih ramah lingkungan, tetapi juga berfungsi sebagai pendorong penting dalam menciptakan pasar yang lebih matang dan siap menerima teknologi transportasi berkelanjutan. </w:t>
      </w:r>
    </w:p>
    <w:p w:rsidR="000A3DBC" w:rsidRDefault="00FF7768">
      <w:pPr>
        <w:ind w:left="-15" w:right="299" w:firstLine="720"/>
      </w:pPr>
      <w:r>
        <w:t xml:space="preserve">Hasil pengujian tambahan menunjukkan bahwa TP memiliki pengaruh positif yang signifikan terhadap GA. Temuan ini konsisten dengan penelitian Ansab dan Kumar (2022), yang mengindikasikan bahwa insentif perpajakan dan keuangan memberikan sinyal kepada konsumen mengenai keberlanjutan inovasi dalam kendaraan listrik. Sinyal positif berupa insentif dan subsidi tersebut berperan dalam membentuk sikap ramah lingkungan di kalangan konsumen, yang pada gilirannya dapat meningkatkan keinginan mereka untuk membeli kendaraan listrik. Dengan demikian, kebijakan insentif yang efektif tidak hanya mendorong sikap positif terhadap produk ramah lingkungan tetapi juga berkontribusi pada peningkatan adopsi kendaraan listrik di pasar. </w:t>
      </w:r>
    </w:p>
    <w:p w:rsidR="000A3DBC" w:rsidRDefault="00FF7768">
      <w:pPr>
        <w:ind w:left="-15" w:right="299" w:firstLine="720"/>
      </w:pPr>
      <w:r>
        <w:t xml:space="preserve">Berdasarkan hasil pengujian hipotesis, GA memiliki pengaruh signifikan terhadap WP. Indikator dengan loading faktor tertinggi adalah persepsi bahwa membeli kendaraan listrik merupakan ide yang bijaksana dengan nilai sebesar 0,944. Sikap konsumen yang menganggap pembelian kendaraan listrik sebagai langkah bijaksana didorong oleh pengalaman positif terkait kendaraan listrik dan kesadaran akan pentingnya kelestarian lingkungan. Membeli kendaraan listrik dipandang sebagai tindakan yang mencerminkan apresiasi terhadap kelestarian lingkungan, di mana konsumen merasa bahwa kendaraan listrik dapat berkontribusi dalam mengurangi dampak negatif terhadap lingkungan. Selain itu, konsumen juga merasakan kepuasan dan kegembiraan dari pembelian tersebut karena hal ini memungkinkan mereka untuk memenuhi tanggung jawab dalam menciptakan lingkungan yang lebih sehat (Joshi et al., 2021). Pandangan ini memperkuat pentingnya sikap </w:t>
      </w:r>
      <w:r>
        <w:lastRenderedPageBreak/>
        <w:t xml:space="preserve">positif terhadap pembelian produk ramah lingkungan dalam mempengaruhi keputusan konsumen. </w:t>
      </w:r>
    </w:p>
    <w:p w:rsidR="000A3DBC" w:rsidRDefault="00FF7768">
      <w:pPr>
        <w:ind w:left="-15" w:right="299" w:firstLine="720"/>
      </w:pPr>
      <w:r>
        <w:t xml:space="preserve">Hasil pengujian hipotesis mediasi menunjukkan bahwa GA berhasil memediasi hubungan antara TP dan WP. Temuan ini mengindikasikan bahwa sikap positif terhadap pembelian ramah lingkungan berperan dalam menjelaskan bagaimana kebijakan insentif mempengaruhi niat beli. Dengan adanya GA sebagai mediasi, hubungan antara TP dan WP menjadi lebih signifikan yang sebelumnya 0.257 menjadi 0.414. </w:t>
      </w:r>
    </w:p>
    <w:p w:rsidR="000A3DBC" w:rsidRDefault="00FF7768">
      <w:pPr>
        <w:spacing w:after="131" w:line="259" w:lineRule="auto"/>
        <w:ind w:left="720" w:right="0" w:firstLine="0"/>
        <w:jc w:val="left"/>
      </w:pPr>
      <w:r>
        <w:t xml:space="preserve"> </w:t>
      </w:r>
    </w:p>
    <w:p w:rsidR="000A3DBC" w:rsidRDefault="00FF7768" w:rsidP="00533D1D">
      <w:pPr>
        <w:pStyle w:val="Heading1"/>
        <w:spacing w:after="178"/>
        <w:ind w:left="0" w:right="662"/>
        <w:jc w:val="left"/>
      </w:pPr>
      <w:r>
        <w:t xml:space="preserve">KESIMPULAN </w:t>
      </w:r>
    </w:p>
    <w:p w:rsidR="000A3DBC" w:rsidRDefault="00FF7768">
      <w:pPr>
        <w:spacing w:after="61"/>
        <w:ind w:left="-5" w:right="299"/>
      </w:pPr>
      <w:r>
        <w:rPr>
          <w:sz w:val="24"/>
        </w:rPr>
        <w:t xml:space="preserve"> </w:t>
      </w:r>
      <w:r>
        <w:t xml:space="preserve">Semua faktor yang diuji dalam penelitian ini yaitu kebijakan insentif pajak dan keuangan dan sikap ramah lingkungan dapat mempengaruhi keinginan konsumen untuk membeli kendaraan listrik. Kebijakan insentif perpajakan dan keuangan dapat memberikan manfaat sekaligus sebagai subsidi sehingga meningkatkan minat terhadap kendaraan listrik. Hasil penelitian ini memberikan kontribusi secara praktis dan teoritis. Dari sudut pandang praktis pemerintah perlu secara berkelanjutan memberikan fasilitas insentif dan subsidi kepada konsumen untuk mengurangi kebingungan dan ketidakpastian tentang keberlangsungan program adopsi kendaraan listrik. Keberlanjutan fasilitas insentif dan subsidi dapat mendorong konsumen untuk lebih memilih produk ramah lingkungan. Secara teoritis hasil penelitian ini mengkonfirmasi teori </w:t>
      </w:r>
      <w:r>
        <w:rPr>
          <w:i/>
        </w:rPr>
        <w:t xml:space="preserve">Value Belief Norm </w:t>
      </w:r>
      <w:r>
        <w:t xml:space="preserve">melalui keberadaan sikap ramah lingkungan. Sikap ramah lingkungan merupakan representasi dari norma pribadi, keyakinan dan nilai seseorang. Konsumen dengan </w:t>
      </w:r>
      <w:r>
        <w:rPr>
          <w:i/>
        </w:rPr>
        <w:t xml:space="preserve">Value Belief Norm </w:t>
      </w:r>
      <w:r>
        <w:t xml:space="preserve">berperilaku prolingkungan sehingga akan mempertimbangkan pembelian produk-produk yang memberikan konsekuensi minimal terhadap kerusakan lingkungan. </w:t>
      </w:r>
    </w:p>
    <w:p w:rsidR="000A3DBC" w:rsidRDefault="00FF7768">
      <w:pPr>
        <w:spacing w:after="170" w:line="259" w:lineRule="auto"/>
        <w:ind w:left="0" w:right="0" w:firstLine="0"/>
        <w:jc w:val="left"/>
      </w:pPr>
      <w:r>
        <w:t xml:space="preserve"> </w:t>
      </w:r>
    </w:p>
    <w:p w:rsidR="000A3DBC" w:rsidRDefault="00FF7768">
      <w:pPr>
        <w:spacing w:after="172" w:line="259" w:lineRule="auto"/>
        <w:ind w:left="0" w:right="0" w:firstLine="0"/>
        <w:jc w:val="left"/>
      </w:pPr>
      <w:r>
        <w:t xml:space="preserve"> </w:t>
      </w:r>
    </w:p>
    <w:p w:rsidR="000A3DBC" w:rsidRDefault="00FF7768">
      <w:pPr>
        <w:spacing w:after="170" w:line="259" w:lineRule="auto"/>
        <w:ind w:left="0" w:right="0" w:firstLine="0"/>
        <w:jc w:val="left"/>
      </w:pPr>
      <w:r>
        <w:t xml:space="preserve"> </w:t>
      </w:r>
    </w:p>
    <w:p w:rsidR="000A3DBC" w:rsidRDefault="00FF7768">
      <w:pPr>
        <w:spacing w:after="170" w:line="259" w:lineRule="auto"/>
        <w:ind w:left="0" w:right="0" w:firstLine="0"/>
        <w:jc w:val="left"/>
      </w:pPr>
      <w:r>
        <w:t xml:space="preserve"> </w:t>
      </w:r>
    </w:p>
    <w:p w:rsidR="000A3DBC" w:rsidRDefault="00FF7768" w:rsidP="007B00F4">
      <w:pPr>
        <w:spacing w:after="172" w:line="259" w:lineRule="auto"/>
        <w:ind w:left="0" w:right="0" w:firstLine="0"/>
        <w:jc w:val="left"/>
      </w:pPr>
      <w:r>
        <w:t xml:space="preserve"> </w:t>
      </w:r>
    </w:p>
    <w:p w:rsidR="007B00F4" w:rsidRDefault="007B00F4" w:rsidP="007B00F4">
      <w:pPr>
        <w:spacing w:after="172" w:line="259" w:lineRule="auto"/>
        <w:ind w:left="0" w:right="0" w:firstLine="0"/>
        <w:jc w:val="left"/>
      </w:pPr>
    </w:p>
    <w:p w:rsidR="007B00F4" w:rsidRDefault="007B00F4" w:rsidP="007B00F4">
      <w:pPr>
        <w:spacing w:after="172" w:line="259" w:lineRule="auto"/>
        <w:ind w:left="0" w:right="0" w:firstLine="0"/>
        <w:jc w:val="left"/>
      </w:pPr>
    </w:p>
    <w:p w:rsidR="000A3DBC" w:rsidRDefault="00FF7768">
      <w:pPr>
        <w:spacing w:after="172" w:line="259" w:lineRule="auto"/>
        <w:ind w:left="0" w:right="0" w:firstLine="0"/>
        <w:jc w:val="left"/>
      </w:pPr>
      <w:r>
        <w:t xml:space="preserve"> </w:t>
      </w:r>
    </w:p>
    <w:p w:rsidR="000A3DBC" w:rsidRDefault="00FF7768" w:rsidP="007B00F4">
      <w:pPr>
        <w:pStyle w:val="Heading1"/>
        <w:ind w:left="0"/>
        <w:jc w:val="left"/>
      </w:pPr>
      <w:r>
        <w:lastRenderedPageBreak/>
        <w:t xml:space="preserve">DAFTAR REFERENSI </w:t>
      </w:r>
    </w:p>
    <w:p w:rsidR="000A3DBC" w:rsidRDefault="00FF7768">
      <w:pPr>
        <w:spacing w:after="0" w:line="259" w:lineRule="auto"/>
        <w:ind w:left="0" w:right="0" w:firstLine="0"/>
        <w:jc w:val="left"/>
      </w:pPr>
      <w:r>
        <w:rPr>
          <w:rFonts w:ascii="Times New Roman" w:eastAsia="Times New Roman" w:hAnsi="Times New Roman" w:cs="Times New Roman"/>
          <w:sz w:val="24"/>
        </w:rPr>
        <w:t xml:space="preserve"> </w:t>
      </w:r>
    </w:p>
    <w:p w:rsidR="000A3DBC" w:rsidRDefault="00FF7768">
      <w:pPr>
        <w:ind w:left="609" w:right="299" w:hanging="624"/>
      </w:pPr>
      <w:r>
        <w:t>Ansab, K. V.; Kumar, S. P. (2024). Influence of government financial incentives on electric car adoption: Empirical evidence from India</w:t>
      </w:r>
      <w:r>
        <w:rPr>
          <w:i/>
        </w:rPr>
        <w:t>. South Asia Journal of Business Studies. 13</w:t>
      </w:r>
      <w:r>
        <w:t xml:space="preserve">(2), </w:t>
      </w:r>
    </w:p>
    <w:p w:rsidR="000A3DBC" w:rsidRDefault="00FF7768">
      <w:pPr>
        <w:spacing w:after="127" w:line="259" w:lineRule="auto"/>
        <w:ind w:left="634" w:right="299"/>
      </w:pPr>
      <w:r>
        <w:t xml:space="preserve">226-243. </w:t>
      </w:r>
      <w:hyperlink r:id="rId8">
        <w:r>
          <w:t>https://doi.org/10.1108/SAJBS</w:t>
        </w:r>
      </w:hyperlink>
      <w:hyperlink r:id="rId9">
        <w:r>
          <w:t>-</w:t>
        </w:r>
      </w:hyperlink>
      <w:hyperlink r:id="rId10">
        <w:r>
          <w:t>03</w:t>
        </w:r>
      </w:hyperlink>
      <w:hyperlink r:id="rId11">
        <w:r>
          <w:t>-</w:t>
        </w:r>
      </w:hyperlink>
      <w:hyperlink r:id="rId12">
        <w:r>
          <w:t>2021</w:t>
        </w:r>
      </w:hyperlink>
      <w:hyperlink r:id="rId13">
        <w:r>
          <w:t>-</w:t>
        </w:r>
      </w:hyperlink>
      <w:hyperlink r:id="rId14">
        <w:r>
          <w:t>0088</w:t>
        </w:r>
      </w:hyperlink>
      <w:hyperlink r:id="rId15">
        <w:r>
          <w:t xml:space="preserve"> </w:t>
        </w:r>
      </w:hyperlink>
      <w:r>
        <w:t xml:space="preserve"> </w:t>
      </w:r>
    </w:p>
    <w:p w:rsidR="000A3DBC" w:rsidRDefault="00FF7768">
      <w:pPr>
        <w:ind w:left="609" w:right="299" w:hanging="624"/>
      </w:pPr>
      <w:r>
        <w:t xml:space="preserve">Ferraro, C.; Sands, S.; Brace-Govan, J. </w:t>
      </w:r>
      <w:proofErr w:type="gramStart"/>
      <w:r>
        <w:t>( 2016</w:t>
      </w:r>
      <w:proofErr w:type="gramEnd"/>
      <w:r>
        <w:t xml:space="preserve">). The role of fashionability in second-hand shopping motivations. </w:t>
      </w:r>
      <w:r>
        <w:rPr>
          <w:i/>
        </w:rPr>
        <w:t>Journal of Retailing and Consumer Services. 32</w:t>
      </w:r>
      <w:r>
        <w:rPr>
          <w:b/>
        </w:rPr>
        <w:t xml:space="preserve">, </w:t>
      </w:r>
      <w:r>
        <w:t xml:space="preserve">262-268. </w:t>
      </w:r>
      <w:hyperlink r:id="rId16">
        <w:r>
          <w:t>https://doi.org/10.1016/j.jretconser.2016.07.006</w:t>
        </w:r>
      </w:hyperlink>
      <w:hyperlink r:id="rId17">
        <w:r>
          <w:t xml:space="preserve"> </w:t>
        </w:r>
      </w:hyperlink>
      <w:r>
        <w:t xml:space="preserve"> </w:t>
      </w:r>
    </w:p>
    <w:p w:rsidR="000A3DBC" w:rsidRDefault="00FF7768">
      <w:pPr>
        <w:ind w:left="609" w:right="299" w:hanging="624"/>
      </w:pPr>
      <w:r>
        <w:t xml:space="preserve">Ha, T. T.; Nguyen, T. C.; Tu, S. S.; Nguyen, M. H. (2023). Investigation of influential factors of intention to adopt electric vehicles for motorcyclists in Vietnam. </w:t>
      </w:r>
      <w:r>
        <w:rPr>
          <w:i/>
        </w:rPr>
        <w:t xml:space="preserve">Sustainability. </w:t>
      </w:r>
    </w:p>
    <w:p w:rsidR="000A3DBC" w:rsidRDefault="00FF7768">
      <w:pPr>
        <w:spacing w:after="112" w:line="259" w:lineRule="auto"/>
        <w:ind w:left="634" w:right="299"/>
      </w:pPr>
      <w:r>
        <w:rPr>
          <w:i/>
        </w:rPr>
        <w:t>15</w:t>
      </w:r>
      <w:r>
        <w:t xml:space="preserve">(11), 8765. </w:t>
      </w:r>
      <w:hyperlink r:id="rId18">
        <w:r>
          <w:t>https://doi.org/10.3390/su15118765</w:t>
        </w:r>
      </w:hyperlink>
      <w:hyperlink r:id="rId19">
        <w:r>
          <w:t xml:space="preserve"> </w:t>
        </w:r>
      </w:hyperlink>
      <w:r>
        <w:t xml:space="preserve"> </w:t>
      </w:r>
    </w:p>
    <w:p w:rsidR="000A3DBC" w:rsidRDefault="00FF7768">
      <w:pPr>
        <w:ind w:left="609" w:right="299" w:hanging="624"/>
      </w:pPr>
      <w:r>
        <w:t>Hu, X.; Wang, S.; Zhou, R.; Gao, L.; Zhu, Z. (2023). Policy driven or consumer trait driven? Unpacking the EVs purchase intention of consumer from the policy and consumer trait perspective</w:t>
      </w:r>
      <w:r>
        <w:rPr>
          <w:i/>
        </w:rPr>
        <w:t>. Energy Policy</w:t>
      </w:r>
      <w:r>
        <w:t xml:space="preserve">. </w:t>
      </w:r>
      <w:r>
        <w:rPr>
          <w:i/>
        </w:rPr>
        <w:t>177</w:t>
      </w:r>
      <w:r>
        <w:t xml:space="preserve">. </w:t>
      </w:r>
      <w:hyperlink r:id="rId20">
        <w:r>
          <w:t>https://doi.org/10.1016/j.enpol.2023.113559</w:t>
        </w:r>
      </w:hyperlink>
      <w:hyperlink r:id="rId21">
        <w:r>
          <w:t xml:space="preserve"> </w:t>
        </w:r>
      </w:hyperlink>
    </w:p>
    <w:p w:rsidR="000A3DBC" w:rsidRDefault="00FF7768">
      <w:pPr>
        <w:ind w:left="609" w:right="299" w:hanging="624"/>
      </w:pPr>
      <w:r>
        <w:t xml:space="preserve">Joshi, Y., Uniyal, D. P.; Sangroya, D. (2021). Investigating consumers green purchase intention: Examining the role of economic value, emotional value and perceived marketplace influence. </w:t>
      </w:r>
      <w:r>
        <w:rPr>
          <w:i/>
        </w:rPr>
        <w:t xml:space="preserve">Journal of Cleaner Production. 328. </w:t>
      </w:r>
    </w:p>
    <w:p w:rsidR="000A3DBC" w:rsidRDefault="00EA702A">
      <w:pPr>
        <w:spacing w:after="112" w:line="259" w:lineRule="auto"/>
        <w:ind w:left="634" w:right="299"/>
      </w:pPr>
      <w:hyperlink r:id="rId22">
        <w:r w:rsidR="00FF7768">
          <w:t>https://doi.org/10.1016/j.jclepro.2021.129638</w:t>
        </w:r>
      </w:hyperlink>
      <w:hyperlink r:id="rId23">
        <w:r w:rsidR="00FF7768">
          <w:t xml:space="preserve"> </w:t>
        </w:r>
      </w:hyperlink>
      <w:r w:rsidR="00FF7768">
        <w:t xml:space="preserve"> </w:t>
      </w:r>
    </w:p>
    <w:p w:rsidR="000A3DBC" w:rsidRDefault="00FF7768">
      <w:pPr>
        <w:ind w:left="609" w:right="299" w:hanging="624"/>
      </w:pPr>
      <w:r>
        <w:t xml:space="preserve">Konuk, F. A. (2019). Consumers' willingness to buy and willingness to pay for fair trade food: The influence of consciousness for fair consumption, environmental concern, trust and innovativeness. </w:t>
      </w:r>
      <w:r>
        <w:rPr>
          <w:i/>
        </w:rPr>
        <w:t>Food Research International. 120</w:t>
      </w:r>
      <w:r>
        <w:rPr>
          <w:b/>
        </w:rPr>
        <w:t xml:space="preserve">, </w:t>
      </w:r>
      <w:r>
        <w:t xml:space="preserve">141-147. </w:t>
      </w:r>
    </w:p>
    <w:p w:rsidR="000A3DBC" w:rsidRDefault="00EA702A">
      <w:pPr>
        <w:spacing w:after="110" w:line="259" w:lineRule="auto"/>
        <w:ind w:left="634" w:right="299"/>
      </w:pPr>
      <w:hyperlink r:id="rId24">
        <w:r w:rsidR="00FF7768">
          <w:t>https://doi.org/10.1016/j.foodres.2019.02.018</w:t>
        </w:r>
      </w:hyperlink>
      <w:hyperlink r:id="rId25">
        <w:r w:rsidR="00FF7768">
          <w:t xml:space="preserve"> </w:t>
        </w:r>
      </w:hyperlink>
      <w:r w:rsidR="00FF7768">
        <w:t xml:space="preserve"> </w:t>
      </w:r>
    </w:p>
    <w:p w:rsidR="000A3DBC" w:rsidRDefault="00FF7768">
      <w:pPr>
        <w:ind w:left="609" w:right="299" w:hanging="624"/>
      </w:pPr>
      <w:r>
        <w:t xml:space="preserve">Kock, N. (2020). </w:t>
      </w:r>
      <w:r>
        <w:rPr>
          <w:i/>
        </w:rPr>
        <w:t xml:space="preserve">WarpOLS user manual: Version 7.0. </w:t>
      </w:r>
      <w:r>
        <w:t xml:space="preserve">Laredo. ScriptWarp Systems. </w:t>
      </w:r>
      <w:hyperlink r:id="rId26">
        <w:r>
          <w:t>https://www.scriptwarp.com/warppls/UserManual_v_7_0.pdf</w:t>
        </w:r>
      </w:hyperlink>
      <w:hyperlink r:id="rId27">
        <w:r>
          <w:t xml:space="preserve"> </w:t>
        </w:r>
      </w:hyperlink>
      <w:r>
        <w:t xml:space="preserve"> </w:t>
      </w:r>
    </w:p>
    <w:p w:rsidR="000A3DBC" w:rsidRDefault="00FF7768">
      <w:pPr>
        <w:ind w:left="609" w:right="299" w:hanging="624"/>
      </w:pPr>
      <w:r>
        <w:t xml:space="preserve">Kusumawardhani, A.; Saptadjaja, V.; Cahyono, M. (2024). The effects of carbon tax, fairness, and government trust on public views of carbon tax. InFestasi. </w:t>
      </w:r>
      <w:r>
        <w:rPr>
          <w:i/>
        </w:rPr>
        <w:t>20</w:t>
      </w:r>
      <w:r>
        <w:t xml:space="preserve">(1), 54-64. </w:t>
      </w:r>
      <w:hyperlink r:id="rId28">
        <w:r>
          <w:t>https://doi.org/10.21107/infestasi.v20i1.25566</w:t>
        </w:r>
      </w:hyperlink>
      <w:hyperlink r:id="rId29">
        <w:r>
          <w:t xml:space="preserve"> </w:t>
        </w:r>
      </w:hyperlink>
      <w:r>
        <w:t xml:space="preserve"> </w:t>
      </w:r>
    </w:p>
    <w:p w:rsidR="000A3DBC" w:rsidRDefault="00FF7768">
      <w:pPr>
        <w:spacing w:after="110" w:line="259" w:lineRule="auto"/>
        <w:ind w:left="-5" w:right="299"/>
      </w:pPr>
      <w:r>
        <w:t xml:space="preserve">Lieven, T.; </w:t>
      </w:r>
      <w:hyperlink r:id="rId30">
        <w:r>
          <w:rPr>
            <w:u w:val="single" w:color="000000"/>
          </w:rPr>
          <w:t>Mühlmeier</w:t>
        </w:r>
      </w:hyperlink>
      <w:hyperlink r:id="rId31">
        <w:r>
          <w:t>,</w:t>
        </w:r>
      </w:hyperlink>
      <w:r>
        <w:t xml:space="preserve"> S.; Henkel, S. (2011). Who will buy electric cars? An empirical study in </w:t>
      </w:r>
    </w:p>
    <w:p w:rsidR="000A3DBC" w:rsidRDefault="00FF7768">
      <w:pPr>
        <w:spacing w:after="112" w:line="259" w:lineRule="auto"/>
        <w:ind w:left="624" w:right="0" w:firstLine="0"/>
        <w:jc w:val="left"/>
      </w:pPr>
      <w:r>
        <w:t xml:space="preserve">Germany. </w:t>
      </w:r>
      <w:r>
        <w:rPr>
          <w:i/>
        </w:rPr>
        <w:t>Transportation Research Part D: Transport and Environmental. 16</w:t>
      </w:r>
      <w:r>
        <w:t>(3), 236-</w:t>
      </w:r>
    </w:p>
    <w:p w:rsidR="000A3DBC" w:rsidRDefault="00FF7768">
      <w:pPr>
        <w:spacing w:after="112" w:line="259" w:lineRule="auto"/>
        <w:ind w:left="634" w:right="299"/>
      </w:pPr>
      <w:r>
        <w:t xml:space="preserve">243. </w:t>
      </w:r>
      <w:hyperlink r:id="rId32">
        <w:r>
          <w:t>https://doi.org/10.1016/j.trd.2010.12.001</w:t>
        </w:r>
      </w:hyperlink>
      <w:hyperlink r:id="rId33">
        <w:r>
          <w:t xml:space="preserve"> </w:t>
        </w:r>
      </w:hyperlink>
      <w:r>
        <w:t xml:space="preserve"> </w:t>
      </w:r>
    </w:p>
    <w:p w:rsidR="000A3DBC" w:rsidRDefault="00FF7768">
      <w:pPr>
        <w:ind w:left="609" w:right="299" w:hanging="624"/>
      </w:pPr>
      <w:r>
        <w:t xml:space="preserve">Mangoting, Y.; Louisa, P.; Yonatan, V, A. (2023). The urgency of carbon accounting based on willingness to pay carbon tax. </w:t>
      </w:r>
      <w:r>
        <w:rPr>
          <w:i/>
        </w:rPr>
        <w:t>Jurnal Aset</w:t>
      </w:r>
      <w:r>
        <w:t xml:space="preserve">. </w:t>
      </w:r>
      <w:r>
        <w:rPr>
          <w:i/>
        </w:rPr>
        <w:t>15</w:t>
      </w:r>
      <w:r>
        <w:t xml:space="preserve">(1), 119-134. </w:t>
      </w:r>
      <w:hyperlink r:id="rId34">
        <w:r>
          <w:t>http://ejournal.upi.edu/index.php/aset/</w:t>
        </w:r>
      </w:hyperlink>
      <w:hyperlink r:id="rId35">
        <w:r>
          <w:t xml:space="preserve"> </w:t>
        </w:r>
      </w:hyperlink>
      <w:r>
        <w:t xml:space="preserve"> </w:t>
      </w:r>
    </w:p>
    <w:p w:rsidR="000A3DBC" w:rsidRDefault="00FF7768">
      <w:pPr>
        <w:spacing w:after="112" w:line="259" w:lineRule="auto"/>
        <w:ind w:left="-5" w:right="299"/>
      </w:pPr>
      <w:r>
        <w:lastRenderedPageBreak/>
        <w:t xml:space="preserve">Park, H. J.; Lin, L. M. (2020). Exploring attitude–behavior gap in sustainable consumption: </w:t>
      </w:r>
    </w:p>
    <w:p w:rsidR="000A3DBC" w:rsidRDefault="00FF7768">
      <w:pPr>
        <w:ind w:left="634" w:right="299"/>
      </w:pPr>
      <w:r>
        <w:t xml:space="preserve">Comparison of recycled and upcycled fashion products.  </w:t>
      </w:r>
      <w:r>
        <w:rPr>
          <w:i/>
        </w:rPr>
        <w:t>Journal of Business Research</w:t>
      </w:r>
      <w:r>
        <w:t xml:space="preserve">. </w:t>
      </w:r>
      <w:r>
        <w:rPr>
          <w:i/>
        </w:rPr>
        <w:t>117</w:t>
      </w:r>
      <w:r>
        <w:rPr>
          <w:b/>
        </w:rPr>
        <w:t xml:space="preserve">, </w:t>
      </w:r>
      <w:r>
        <w:t xml:space="preserve">623–628. </w:t>
      </w:r>
      <w:hyperlink r:id="rId36">
        <w:r>
          <w:t>https://doi.org/10.1016/j.jbusres.2018.08.025</w:t>
        </w:r>
      </w:hyperlink>
      <w:hyperlink r:id="rId37">
        <w:r>
          <w:t xml:space="preserve"> </w:t>
        </w:r>
      </w:hyperlink>
      <w:r>
        <w:t xml:space="preserve"> </w:t>
      </w:r>
    </w:p>
    <w:p w:rsidR="000A3DBC" w:rsidRDefault="00FF7768">
      <w:pPr>
        <w:ind w:left="609" w:right="299" w:hanging="624"/>
      </w:pPr>
      <w:r>
        <w:t xml:space="preserve">Shakeel, U. (2022). Electric vehicle development in Pakistan: Predicting consumer purchase intention. </w:t>
      </w:r>
      <w:r>
        <w:rPr>
          <w:i/>
        </w:rPr>
        <w:t xml:space="preserve">Cleaner </w:t>
      </w:r>
      <w:r>
        <w:t xml:space="preserve">Electric vehicle development in Pakistan: Predicting consumer purchase intention. </w:t>
      </w:r>
      <w:r>
        <w:rPr>
          <w:i/>
        </w:rPr>
        <w:t>Cleaner and Responsible Comsumption. 5</w:t>
      </w:r>
      <w:r>
        <w:t xml:space="preserve">. </w:t>
      </w:r>
      <w:hyperlink r:id="rId38">
        <w:r>
          <w:t>https://doi.org/10.1016/j.clrc.2022.100065</w:t>
        </w:r>
      </w:hyperlink>
      <w:hyperlink r:id="rId39">
        <w:r>
          <w:t xml:space="preserve"> </w:t>
        </w:r>
      </w:hyperlink>
      <w:r>
        <w:t xml:space="preserve"> </w:t>
      </w:r>
    </w:p>
    <w:p w:rsidR="000A3DBC" w:rsidRDefault="00FF7768" w:rsidP="00533D1D">
      <w:pPr>
        <w:ind w:left="609" w:right="299" w:hanging="624"/>
      </w:pPr>
      <w:r>
        <w:t xml:space="preserve">Stern, P. C.; Dietz, T.; Abel, T.; Guagnano, G. A.; Kalof, L. (1999). A value-belief norm theory of support for social movements: The case of environmentalism. </w:t>
      </w:r>
      <w:r>
        <w:rPr>
          <w:i/>
        </w:rPr>
        <w:t>Human Ecology Review. 6</w:t>
      </w:r>
      <w:r>
        <w:t xml:space="preserve">(2), 81–97. </w:t>
      </w:r>
      <w:hyperlink r:id="rId40">
        <w:r>
          <w:t>https://www.jstor.org/stable/24707060</w:t>
        </w:r>
      </w:hyperlink>
      <w:hyperlink r:id="rId41">
        <w:r>
          <w:t xml:space="preserve"> </w:t>
        </w:r>
      </w:hyperlink>
      <w:r>
        <w:t xml:space="preserve"> </w:t>
      </w:r>
    </w:p>
    <w:p w:rsidR="000A3DBC" w:rsidRDefault="00FF7768">
      <w:pPr>
        <w:ind w:left="609" w:right="299" w:hanging="624"/>
      </w:pPr>
      <w:r>
        <w:t xml:space="preserve">Tanwir, N. S.; Hamzah, M. I. (2020). Predicting purchase intention of hybrid electric vehicles: Evidence from an emerging economy. </w:t>
      </w:r>
      <w:r>
        <w:rPr>
          <w:i/>
        </w:rPr>
        <w:t>Word Electric Vehicles journal. 11</w:t>
      </w:r>
      <w:r>
        <w:t xml:space="preserve">(2), 35. </w:t>
      </w:r>
      <w:hyperlink r:id="rId42">
        <w:r>
          <w:t>https://doi.org/10.3390/wevj11020035</w:t>
        </w:r>
      </w:hyperlink>
      <w:hyperlink r:id="rId43">
        <w:r>
          <w:t xml:space="preserve"> </w:t>
        </w:r>
      </w:hyperlink>
      <w:r>
        <w:t xml:space="preserve"> </w:t>
      </w:r>
    </w:p>
    <w:p w:rsidR="000A3DBC" w:rsidRDefault="00FF7768">
      <w:pPr>
        <w:ind w:left="609" w:right="299" w:hanging="624"/>
      </w:pPr>
      <w:r>
        <w:t xml:space="preserve">Vu, D. M.; Ha, N. T.; Ngo, T. V. N.; Pham, H. T.; Duong, C. D. (2022). Environmental corporate social responsibility initiatives and green purchase intention: An application of the extended theory of planned behavior. </w:t>
      </w:r>
      <w:r>
        <w:rPr>
          <w:i/>
        </w:rPr>
        <w:t>Social Responsibility Journal</w:t>
      </w:r>
      <w:r>
        <w:t xml:space="preserve">. </w:t>
      </w:r>
      <w:r>
        <w:rPr>
          <w:i/>
        </w:rPr>
        <w:t>18</w:t>
      </w:r>
      <w:r>
        <w:t xml:space="preserve">(8), 1627–1645. </w:t>
      </w:r>
      <w:hyperlink r:id="rId44">
        <w:r>
          <w:t>http://dx.doi.org/10.1108/SRJ</w:t>
        </w:r>
      </w:hyperlink>
      <w:hyperlink r:id="rId45">
        <w:r>
          <w:t>-</w:t>
        </w:r>
      </w:hyperlink>
      <w:hyperlink r:id="rId46">
        <w:r>
          <w:t>06</w:t>
        </w:r>
      </w:hyperlink>
      <w:hyperlink r:id="rId47">
        <w:r>
          <w:t>-</w:t>
        </w:r>
      </w:hyperlink>
      <w:hyperlink r:id="rId48">
        <w:r>
          <w:t>2021</w:t>
        </w:r>
      </w:hyperlink>
      <w:hyperlink r:id="rId49">
        <w:r>
          <w:t>-</w:t>
        </w:r>
      </w:hyperlink>
      <w:hyperlink r:id="rId50">
        <w:r>
          <w:t>0220</w:t>
        </w:r>
      </w:hyperlink>
      <w:hyperlink r:id="rId51">
        <w:r>
          <w:t xml:space="preserve"> </w:t>
        </w:r>
      </w:hyperlink>
      <w:r>
        <w:t xml:space="preserve"> </w:t>
      </w:r>
    </w:p>
    <w:p w:rsidR="000A3DBC" w:rsidRDefault="00FF7768">
      <w:pPr>
        <w:spacing w:after="44"/>
        <w:ind w:left="609" w:right="299" w:hanging="624"/>
      </w:pPr>
      <w:r>
        <w:t xml:space="preserve">Wang, S.; Li, J.; Zhao, D. (2017). The impact of policy measures on consumer intention to adopt electric vehicles: Evidence from China. </w:t>
      </w:r>
      <w:r>
        <w:rPr>
          <w:i/>
        </w:rPr>
        <w:t>Transportation Research Part A: Policy and Practice. 105</w:t>
      </w:r>
      <w:r>
        <w:t xml:space="preserve">, 14–26. </w:t>
      </w:r>
      <w:hyperlink r:id="rId52">
        <w:r>
          <w:t>https://doi.org/10.1016/j.tra.2017.08.013</w:t>
        </w:r>
      </w:hyperlink>
      <w:hyperlink r:id="rId53">
        <w:r>
          <w:t xml:space="preserve"> </w:t>
        </w:r>
      </w:hyperlink>
      <w:r>
        <w:t xml:space="preserve"> </w:t>
      </w:r>
    </w:p>
    <w:p w:rsidR="000A3DBC" w:rsidRDefault="00FF7768">
      <w:pPr>
        <w:ind w:left="609" w:right="299" w:hanging="624"/>
      </w:pPr>
      <w:r>
        <w:t xml:space="preserve">Wang, X.; Cao, Y.; Zhang, N. (2021). The influences of incentive policy perceptions and consumer social attributes on battery electric vehicle purchase intentions. </w:t>
      </w:r>
      <w:r>
        <w:rPr>
          <w:i/>
        </w:rPr>
        <w:t>Energy Policy</w:t>
      </w:r>
      <w:r>
        <w:t xml:space="preserve">. </w:t>
      </w:r>
      <w:r>
        <w:rPr>
          <w:i/>
        </w:rPr>
        <w:t xml:space="preserve">151. </w:t>
      </w:r>
      <w:hyperlink r:id="rId54">
        <w:r>
          <w:t>https://doi.org/10.1016/j.enpol.2021.112163</w:t>
        </w:r>
      </w:hyperlink>
      <w:hyperlink r:id="rId55">
        <w:r>
          <w:t xml:space="preserve"> </w:t>
        </w:r>
      </w:hyperlink>
      <w:r>
        <w:t xml:space="preserve"> </w:t>
      </w:r>
    </w:p>
    <w:p w:rsidR="000A3DBC" w:rsidRDefault="00FF7768">
      <w:pPr>
        <w:ind w:left="609" w:right="299" w:hanging="624"/>
      </w:pPr>
      <w:r>
        <w:t xml:space="preserve">Xue, Y.; Zhang, Y.; Wang, Z.; Tian, S.; Xiang, Q.; Li, L, Q. (2023). Effects of incentive policies on the purchase intention of electric vehicles in China: Psychosocial value and family ownership. </w:t>
      </w:r>
      <w:r>
        <w:rPr>
          <w:i/>
        </w:rPr>
        <w:t>Energy Policy. 181</w:t>
      </w:r>
      <w:r>
        <w:t xml:space="preserve">. </w:t>
      </w:r>
      <w:hyperlink r:id="rId56">
        <w:r>
          <w:t>https://doi.org/10.1016/j.enpol.2023.113732</w:t>
        </w:r>
      </w:hyperlink>
      <w:hyperlink r:id="rId57">
        <w:r>
          <w:t xml:space="preserve"> </w:t>
        </w:r>
      </w:hyperlink>
      <w:r>
        <w:t xml:space="preserve"> </w:t>
      </w:r>
    </w:p>
    <w:p w:rsidR="000A3DBC" w:rsidRDefault="00FF7768">
      <w:pPr>
        <w:ind w:left="609" w:right="299" w:hanging="624"/>
      </w:pPr>
      <w:r>
        <w:t xml:space="preserve">Zhang, X.; Bai, X.; Shang, J. (2018). Is subsidised electric vehicles adoption sustainable: Consumers’ perceptions and motivation toward incentive policies, environmental benefits, and risks”. </w:t>
      </w:r>
      <w:r>
        <w:rPr>
          <w:i/>
        </w:rPr>
        <w:t>Journal of Cleaner Production</w:t>
      </w:r>
      <w:r>
        <w:t xml:space="preserve">. </w:t>
      </w:r>
      <w:r>
        <w:rPr>
          <w:i/>
        </w:rPr>
        <w:t>192</w:t>
      </w:r>
      <w:r>
        <w:t xml:space="preserve">, 71-79. </w:t>
      </w:r>
      <w:hyperlink r:id="rId58">
        <w:r>
          <w:t>https://doi.org/10.1016/j.jclepro.2018.04.252</w:t>
        </w:r>
      </w:hyperlink>
      <w:hyperlink r:id="rId59">
        <w:r>
          <w:t xml:space="preserve"> </w:t>
        </w:r>
      </w:hyperlink>
      <w:r>
        <w:t xml:space="preserve"> </w:t>
      </w:r>
    </w:p>
    <w:p w:rsidR="000A3DBC" w:rsidRDefault="00FF7768">
      <w:pPr>
        <w:spacing w:after="123" w:line="259" w:lineRule="auto"/>
        <w:ind w:left="624" w:right="0" w:firstLine="0"/>
        <w:jc w:val="left"/>
      </w:pPr>
      <w:r>
        <w:rPr>
          <w:b/>
          <w:sz w:val="24"/>
        </w:rPr>
        <w:t xml:space="preserve"> </w:t>
      </w:r>
    </w:p>
    <w:p w:rsidR="000A3DBC" w:rsidRDefault="00FF7768">
      <w:pPr>
        <w:spacing w:after="123" w:line="259" w:lineRule="auto"/>
        <w:ind w:left="624" w:right="0" w:firstLine="0"/>
        <w:jc w:val="left"/>
      </w:pPr>
      <w:r>
        <w:rPr>
          <w:b/>
          <w:sz w:val="24"/>
        </w:rPr>
        <w:t xml:space="preserve"> </w:t>
      </w:r>
    </w:p>
    <w:p w:rsidR="000A3DBC" w:rsidRDefault="00FF7768" w:rsidP="00533D1D">
      <w:pPr>
        <w:spacing w:after="126" w:line="259" w:lineRule="auto"/>
        <w:ind w:left="624" w:right="0" w:firstLine="0"/>
        <w:jc w:val="left"/>
      </w:pPr>
      <w:r>
        <w:rPr>
          <w:b/>
          <w:sz w:val="24"/>
        </w:rPr>
        <w:t xml:space="preserve">  </w:t>
      </w:r>
    </w:p>
    <w:sectPr w:rsidR="000A3DBC" w:rsidSect="00DB2C62">
      <w:footerReference w:type="even" r:id="rId60"/>
      <w:footerReference w:type="default" r:id="rId61"/>
      <w:footerReference w:type="first" r:id="rId62"/>
      <w:pgSz w:w="11906" w:h="16841" w:code="9"/>
      <w:pgMar w:top="1701" w:right="1701" w:bottom="1701" w:left="1701" w:header="720" w:footer="556"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A702A" w:rsidRDefault="00EA702A">
      <w:pPr>
        <w:spacing w:after="0" w:line="240" w:lineRule="auto"/>
      </w:pPr>
      <w:r>
        <w:separator/>
      </w:r>
    </w:p>
  </w:endnote>
  <w:endnote w:type="continuationSeparator" w:id="0">
    <w:p w:rsidR="00EA702A" w:rsidRDefault="00EA70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A3DBC" w:rsidRDefault="00FF7768">
    <w:pPr>
      <w:tabs>
        <w:tab w:val="center" w:pos="4325"/>
        <w:tab w:val="right" w:pos="8516"/>
      </w:tabs>
      <w:spacing w:after="0" w:line="259" w:lineRule="auto"/>
      <w:ind w:left="0" w:right="-133" w:firstLine="0"/>
      <w:jc w:val="left"/>
    </w:pPr>
    <w:r>
      <w:tab/>
    </w:r>
    <w:r>
      <w:fldChar w:fldCharType="begin"/>
    </w:r>
    <w:r>
      <w:instrText xml:space="preserve"> PAGE   \* MERGEFORMAT </w:instrText>
    </w:r>
    <w:r>
      <w:fldChar w:fldCharType="separate"/>
    </w:r>
    <w:r>
      <w:rPr>
        <w:rFonts w:ascii="Times New Roman" w:eastAsia="Times New Roman" w:hAnsi="Times New Roman" w:cs="Times New Roman"/>
        <w:sz w:val="24"/>
      </w:rPr>
      <w:t>1</w:t>
    </w:r>
    <w:r>
      <w:rPr>
        <w:rFonts w:ascii="Times New Roman" w:eastAsia="Times New Roman" w:hAnsi="Times New Roman" w:cs="Times New Roman"/>
        <w:sz w:val="24"/>
      </w:rPr>
      <w:fldChar w:fldCharType="end"/>
    </w:r>
    <w:r>
      <w:rPr>
        <w:rFonts w:ascii="Times New Roman" w:eastAsia="Times New Roman" w:hAnsi="Times New Roman" w:cs="Times New Roman"/>
        <w:sz w:val="24"/>
      </w:rPr>
      <w:t xml:space="preserve"> </w:t>
    </w:r>
    <w:r>
      <w:rPr>
        <w:rFonts w:ascii="Times New Roman" w:eastAsia="Times New Roman" w:hAnsi="Times New Roman" w:cs="Times New Roman"/>
        <w:sz w:val="24"/>
      </w:rPr>
      <w:tab/>
    </w:r>
    <w:r>
      <w:rPr>
        <w:b/>
        <w:color w:val="999999"/>
      </w:rPr>
      <w:t xml:space="preserve">Universitas Kristen Petra </w: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37CB8" w:rsidRPr="00937CB8" w:rsidRDefault="00FF7768">
    <w:pPr>
      <w:tabs>
        <w:tab w:val="center" w:pos="4325"/>
        <w:tab w:val="right" w:pos="8516"/>
      </w:tabs>
      <w:spacing w:after="0" w:line="259" w:lineRule="auto"/>
      <w:ind w:left="0" w:right="-133" w:firstLine="0"/>
      <w:jc w:val="left"/>
      <w:rPr>
        <w:rFonts w:asciiTheme="minorHAnsi" w:eastAsia="Times New Roman" w:hAnsiTheme="minorHAnsi" w:cstheme="minorHAnsi"/>
      </w:rPr>
    </w:pPr>
    <w:r>
      <w:tab/>
    </w:r>
    <w:r w:rsidRPr="00937CB8">
      <w:rPr>
        <w:rFonts w:asciiTheme="minorHAnsi" w:hAnsiTheme="minorHAnsi" w:cstheme="minorHAnsi"/>
      </w:rPr>
      <w:fldChar w:fldCharType="begin"/>
    </w:r>
    <w:r w:rsidRPr="00937CB8">
      <w:rPr>
        <w:rFonts w:asciiTheme="minorHAnsi" w:hAnsiTheme="minorHAnsi" w:cstheme="minorHAnsi"/>
      </w:rPr>
      <w:instrText xml:space="preserve"> PAGE   \* MERGEFORMAT </w:instrText>
    </w:r>
    <w:r w:rsidRPr="00937CB8">
      <w:rPr>
        <w:rFonts w:asciiTheme="minorHAnsi" w:hAnsiTheme="minorHAnsi" w:cstheme="minorHAnsi"/>
      </w:rPr>
      <w:fldChar w:fldCharType="separate"/>
    </w:r>
    <w:r w:rsidR="00937CB8" w:rsidRPr="00937CB8">
      <w:rPr>
        <w:rFonts w:asciiTheme="minorHAnsi" w:eastAsia="Times New Roman" w:hAnsiTheme="minorHAnsi" w:cstheme="minorHAnsi"/>
        <w:noProof/>
      </w:rPr>
      <w:t>13</w:t>
    </w:r>
    <w:r w:rsidRPr="00937CB8">
      <w:rPr>
        <w:rFonts w:asciiTheme="minorHAnsi" w:eastAsia="Times New Roman" w:hAnsiTheme="minorHAnsi" w:cstheme="minorHAnsi"/>
      </w:rPr>
      <w:fldChar w:fldCharType="end"/>
    </w:r>
    <w:r w:rsidRPr="00937CB8">
      <w:rPr>
        <w:rFonts w:asciiTheme="minorHAnsi" w:eastAsia="Times New Roman" w:hAnsiTheme="minorHAnsi" w:cstheme="minorHAnsi"/>
      </w:rPr>
      <w:t xml:space="preserve"> </w:t>
    </w:r>
    <w:r w:rsidRPr="00937CB8">
      <w:rPr>
        <w:rFonts w:asciiTheme="minorHAnsi" w:eastAsia="Times New Roman" w:hAnsiTheme="minorHAnsi" w:cstheme="minorHAnsi"/>
      </w:rPr>
      <w:tab/>
    </w:r>
  </w:p>
  <w:p w:rsidR="000A3DBC" w:rsidRDefault="00FF7768" w:rsidP="00937CB8">
    <w:pPr>
      <w:tabs>
        <w:tab w:val="center" w:pos="4325"/>
        <w:tab w:val="right" w:pos="8516"/>
      </w:tabs>
      <w:spacing w:after="0" w:line="259" w:lineRule="auto"/>
      <w:ind w:left="0" w:right="-133" w:firstLine="0"/>
      <w:jc w:val="right"/>
    </w:pPr>
    <w:r>
      <w:rPr>
        <w:b/>
        <w:color w:val="999999"/>
      </w:rPr>
      <w:t xml:space="preserve">Universitas Kristen Petra </w: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A3DBC" w:rsidRDefault="00FF7768">
    <w:pPr>
      <w:tabs>
        <w:tab w:val="center" w:pos="4325"/>
        <w:tab w:val="right" w:pos="8516"/>
      </w:tabs>
      <w:spacing w:after="0" w:line="259" w:lineRule="auto"/>
      <w:ind w:left="0" w:right="-133" w:firstLine="0"/>
      <w:jc w:val="left"/>
    </w:pPr>
    <w:r>
      <w:tab/>
    </w:r>
    <w:r>
      <w:fldChar w:fldCharType="begin"/>
    </w:r>
    <w:r>
      <w:instrText xml:space="preserve"> PAGE   \* MERGEFORMAT </w:instrText>
    </w:r>
    <w:r>
      <w:fldChar w:fldCharType="separate"/>
    </w:r>
    <w:r>
      <w:rPr>
        <w:rFonts w:ascii="Times New Roman" w:eastAsia="Times New Roman" w:hAnsi="Times New Roman" w:cs="Times New Roman"/>
        <w:sz w:val="24"/>
      </w:rPr>
      <w:t>1</w:t>
    </w:r>
    <w:r>
      <w:rPr>
        <w:rFonts w:ascii="Times New Roman" w:eastAsia="Times New Roman" w:hAnsi="Times New Roman" w:cs="Times New Roman"/>
        <w:sz w:val="24"/>
      </w:rPr>
      <w:fldChar w:fldCharType="end"/>
    </w:r>
    <w:r>
      <w:rPr>
        <w:rFonts w:ascii="Times New Roman" w:eastAsia="Times New Roman" w:hAnsi="Times New Roman" w:cs="Times New Roman"/>
        <w:sz w:val="24"/>
      </w:rPr>
      <w:t xml:space="preserve"> </w:t>
    </w:r>
    <w:r>
      <w:rPr>
        <w:rFonts w:ascii="Times New Roman" w:eastAsia="Times New Roman" w:hAnsi="Times New Roman" w:cs="Times New Roman"/>
        <w:sz w:val="24"/>
      </w:rPr>
      <w:tab/>
    </w:r>
    <w:r>
      <w:rPr>
        <w:b/>
        <w:color w:val="999999"/>
      </w:rPr>
      <w:t xml:space="preserve">Universitas Kristen Petra </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A702A" w:rsidRDefault="00EA702A">
      <w:pPr>
        <w:spacing w:after="0" w:line="240" w:lineRule="auto"/>
      </w:pPr>
      <w:r>
        <w:separator/>
      </w:r>
    </w:p>
  </w:footnote>
  <w:footnote w:type="continuationSeparator" w:id="0">
    <w:p w:rsidR="00EA702A" w:rsidRDefault="00EA702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3DBC"/>
    <w:rsid w:val="000A3DBC"/>
    <w:rsid w:val="00533D1D"/>
    <w:rsid w:val="007B00F4"/>
    <w:rsid w:val="00937CB8"/>
    <w:rsid w:val="00DB2C62"/>
    <w:rsid w:val="00EA702A"/>
    <w:rsid w:val="00FF77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0B0236"/>
  <w15:docId w15:val="{BB397167-72FC-4138-AEBE-FBEFD77580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3" w:line="358" w:lineRule="auto"/>
      <w:ind w:left="399" w:right="259" w:hanging="10"/>
      <w:jc w:val="both"/>
    </w:pPr>
    <w:rPr>
      <w:rFonts w:ascii="Calibri" w:eastAsia="Calibri" w:hAnsi="Calibri" w:cs="Calibri"/>
      <w:color w:val="000000"/>
    </w:rPr>
  </w:style>
  <w:style w:type="paragraph" w:styleId="Heading1">
    <w:name w:val="heading 1"/>
    <w:next w:val="Normal"/>
    <w:link w:val="Heading1Char"/>
    <w:uiPriority w:val="9"/>
    <w:unhideWhenUsed/>
    <w:qFormat/>
    <w:pPr>
      <w:keepNext/>
      <w:keepLines/>
      <w:spacing w:after="120"/>
      <w:ind w:left="135" w:hanging="10"/>
      <w:jc w:val="center"/>
      <w:outlineLvl w:val="0"/>
    </w:pPr>
    <w:rPr>
      <w:rFonts w:ascii="Calibri" w:eastAsia="Calibri" w:hAnsi="Calibri" w:cs="Calibri"/>
      <w:b/>
      <w:color w:val="000000"/>
      <w:sz w:val="24"/>
    </w:rPr>
  </w:style>
  <w:style w:type="paragraph" w:styleId="Heading2">
    <w:name w:val="heading 2"/>
    <w:next w:val="Normal"/>
    <w:link w:val="Heading2Char"/>
    <w:uiPriority w:val="9"/>
    <w:unhideWhenUsed/>
    <w:qFormat/>
    <w:pPr>
      <w:keepNext/>
      <w:keepLines/>
      <w:spacing w:after="0"/>
      <w:ind w:left="131"/>
      <w:jc w:val="center"/>
      <w:outlineLvl w:val="1"/>
    </w:pPr>
    <w:rPr>
      <w:rFonts w:ascii="Calibri" w:eastAsia="Calibri" w:hAnsi="Calibri" w:cs="Calibri"/>
      <w:b/>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Calibri" w:eastAsia="Calibri" w:hAnsi="Calibri" w:cs="Calibri"/>
      <w:b/>
      <w:color w:val="000000"/>
      <w:sz w:val="22"/>
    </w:rPr>
  </w:style>
  <w:style w:type="character" w:customStyle="1" w:styleId="Heading1Char">
    <w:name w:val="Heading 1 Char"/>
    <w:link w:val="Heading1"/>
    <w:rPr>
      <w:rFonts w:ascii="Calibri" w:eastAsia="Calibri" w:hAnsi="Calibri" w:cs="Calibri"/>
      <w:b/>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Header">
    <w:name w:val="header"/>
    <w:basedOn w:val="Normal"/>
    <w:link w:val="HeaderChar"/>
    <w:uiPriority w:val="99"/>
    <w:unhideWhenUsed/>
    <w:rsid w:val="00937CB8"/>
    <w:pPr>
      <w:tabs>
        <w:tab w:val="center" w:pos="4680"/>
        <w:tab w:val="right" w:pos="9360"/>
      </w:tabs>
      <w:spacing w:after="0" w:line="240" w:lineRule="auto"/>
    </w:pPr>
  </w:style>
  <w:style w:type="character" w:customStyle="1" w:styleId="HeaderChar">
    <w:name w:val="Header Char"/>
    <w:basedOn w:val="DefaultParagraphFont"/>
    <w:link w:val="Header"/>
    <w:uiPriority w:val="99"/>
    <w:rsid w:val="00937CB8"/>
    <w:rPr>
      <w:rFonts w:ascii="Calibri" w:eastAsia="Calibri" w:hAnsi="Calibri" w:cs="Calibri"/>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13" Type="http://schemas.openxmlformats.org/officeDocument/2006/relationships/hyperlink" Target="https://doi.org/10.1108/SAJBS-03-2021-0088" TargetMode="External"/><Relationship Id="rId18" Type="http://schemas.openxmlformats.org/officeDocument/2006/relationships/hyperlink" Target="https://doi.org/10.3390/su15118765" TargetMode="External"/><Relationship Id="rId26" Type="http://schemas.openxmlformats.org/officeDocument/2006/relationships/hyperlink" Target="https://www.scriptwarp.com/warppls/UserManual_v_7_0.pdf" TargetMode="External"/><Relationship Id="rId39" Type="http://schemas.openxmlformats.org/officeDocument/2006/relationships/hyperlink" Target="https://doi.org/10.1016/j.clrc.2022.100065" TargetMode="External"/><Relationship Id="rId21" Type="http://schemas.openxmlformats.org/officeDocument/2006/relationships/hyperlink" Target="https://doi.org/10.1016/j.enpol.2023.113559" TargetMode="External"/><Relationship Id="rId34" Type="http://schemas.openxmlformats.org/officeDocument/2006/relationships/hyperlink" Target="http://ejournal.upi.edu/index.php/aset/" TargetMode="External"/><Relationship Id="rId42" Type="http://schemas.openxmlformats.org/officeDocument/2006/relationships/hyperlink" Target="https://doi.org/10.3390/wevj11020035" TargetMode="External"/><Relationship Id="rId47" Type="http://schemas.openxmlformats.org/officeDocument/2006/relationships/hyperlink" Target="http://dx.doi.org/10.1108/SRJ-06-2021-0220" TargetMode="External"/><Relationship Id="rId50" Type="http://schemas.openxmlformats.org/officeDocument/2006/relationships/hyperlink" Target="http://dx.doi.org/10.1108/SRJ-06-2021-0220" TargetMode="External"/><Relationship Id="rId55" Type="http://schemas.openxmlformats.org/officeDocument/2006/relationships/hyperlink" Target="https://doi.org/10.1016/j.enpol.2021.112163" TargetMode="External"/><Relationship Id="rId63" Type="http://schemas.openxmlformats.org/officeDocument/2006/relationships/fontTable" Target="fontTable.xml"/><Relationship Id="rId7" Type="http://schemas.openxmlformats.org/officeDocument/2006/relationships/image" Target="media/image2.jpg"/><Relationship Id="rId2" Type="http://schemas.openxmlformats.org/officeDocument/2006/relationships/settings" Target="settings.xml"/><Relationship Id="rId16" Type="http://schemas.openxmlformats.org/officeDocument/2006/relationships/hyperlink" Target="https://doi.org/10.1016/j.jretconser.2016.07.006" TargetMode="External"/><Relationship Id="rId20" Type="http://schemas.openxmlformats.org/officeDocument/2006/relationships/hyperlink" Target="https://doi.org/10.1016/j.enpol.2023.113559" TargetMode="External"/><Relationship Id="rId29" Type="http://schemas.openxmlformats.org/officeDocument/2006/relationships/hyperlink" Target="https://doi.org/10.21107/infestasi.v20i1.25566" TargetMode="External"/><Relationship Id="rId41" Type="http://schemas.openxmlformats.org/officeDocument/2006/relationships/hyperlink" Target="https://www.jstor.org/stable/24707060" TargetMode="External"/><Relationship Id="rId54" Type="http://schemas.openxmlformats.org/officeDocument/2006/relationships/hyperlink" Target="https://doi.org/10.1016/j.enpol.2021.112163" TargetMode="External"/><Relationship Id="rId62" Type="http://schemas.openxmlformats.org/officeDocument/2006/relationships/footer" Target="footer3.xml"/><Relationship Id="rId1" Type="http://schemas.openxmlformats.org/officeDocument/2006/relationships/styles" Target="styles.xml"/><Relationship Id="rId6" Type="http://schemas.openxmlformats.org/officeDocument/2006/relationships/image" Target="media/image1.jpg"/><Relationship Id="rId11" Type="http://schemas.openxmlformats.org/officeDocument/2006/relationships/hyperlink" Target="https://doi.org/10.1108/SAJBS-03-2021-0088" TargetMode="External"/><Relationship Id="rId24" Type="http://schemas.openxmlformats.org/officeDocument/2006/relationships/hyperlink" Target="https://doi.org/10.1016/j.foodres.2019.02.018" TargetMode="External"/><Relationship Id="rId32" Type="http://schemas.openxmlformats.org/officeDocument/2006/relationships/hyperlink" Target="https://doi.org/10.1016/j.trd.2010.12.001" TargetMode="External"/><Relationship Id="rId37" Type="http://schemas.openxmlformats.org/officeDocument/2006/relationships/hyperlink" Target="https://doi.org/10.1016/j.jbusres.2018.08.025" TargetMode="External"/><Relationship Id="rId40" Type="http://schemas.openxmlformats.org/officeDocument/2006/relationships/hyperlink" Target="https://www.jstor.org/stable/24707060" TargetMode="External"/><Relationship Id="rId45" Type="http://schemas.openxmlformats.org/officeDocument/2006/relationships/hyperlink" Target="http://dx.doi.org/10.1108/SRJ-06-2021-0220" TargetMode="External"/><Relationship Id="rId53" Type="http://schemas.openxmlformats.org/officeDocument/2006/relationships/hyperlink" Target="https://doi.org/10.1016/j.tra.2017.08.013" TargetMode="External"/><Relationship Id="rId58" Type="http://schemas.openxmlformats.org/officeDocument/2006/relationships/hyperlink" Target="https://doi.org/10.1016/j.jclepro.2018.04.252" TargetMode="External"/><Relationship Id="rId5" Type="http://schemas.openxmlformats.org/officeDocument/2006/relationships/endnotes" Target="endnotes.xml"/><Relationship Id="rId15" Type="http://schemas.openxmlformats.org/officeDocument/2006/relationships/hyperlink" Target="https://doi.org/10.1108/SAJBS-03-2021-0088" TargetMode="External"/><Relationship Id="rId23" Type="http://schemas.openxmlformats.org/officeDocument/2006/relationships/hyperlink" Target="https://doi.org/10.1016/j.jclepro.2021.129638" TargetMode="External"/><Relationship Id="rId28" Type="http://schemas.openxmlformats.org/officeDocument/2006/relationships/hyperlink" Target="https://doi.org/10.21107/infestasi.v20i1.25566" TargetMode="External"/><Relationship Id="rId36" Type="http://schemas.openxmlformats.org/officeDocument/2006/relationships/hyperlink" Target="https://doi.org/10.1016/j.jbusres.2018.08.025" TargetMode="External"/><Relationship Id="rId49" Type="http://schemas.openxmlformats.org/officeDocument/2006/relationships/hyperlink" Target="http://dx.doi.org/10.1108/SRJ-06-2021-0220" TargetMode="External"/><Relationship Id="rId57" Type="http://schemas.openxmlformats.org/officeDocument/2006/relationships/hyperlink" Target="https://doi.org/10.1016/j.enpol.2023.113732" TargetMode="External"/><Relationship Id="rId61" Type="http://schemas.openxmlformats.org/officeDocument/2006/relationships/footer" Target="footer2.xml"/><Relationship Id="rId10" Type="http://schemas.openxmlformats.org/officeDocument/2006/relationships/hyperlink" Target="https://doi.org/10.1108/SAJBS-03-2021-0088" TargetMode="External"/><Relationship Id="rId19" Type="http://schemas.openxmlformats.org/officeDocument/2006/relationships/hyperlink" Target="https://doi.org/10.3390/su15118765" TargetMode="External"/><Relationship Id="rId31" Type="http://schemas.openxmlformats.org/officeDocument/2006/relationships/hyperlink" Target="https://www.researchgate.net/profile/Silke-Muehlmeier?_tp=eyJjb250ZXh0Ijp7ImZpcnN0UGFnZSI6InB1YmxpY2F0aW9uIiwicGFnZSI6InB1YmxpY2F0aW9uIn19" TargetMode="External"/><Relationship Id="rId44" Type="http://schemas.openxmlformats.org/officeDocument/2006/relationships/hyperlink" Target="http://dx.doi.org/10.1108/SRJ-06-2021-0220" TargetMode="External"/><Relationship Id="rId52" Type="http://schemas.openxmlformats.org/officeDocument/2006/relationships/hyperlink" Target="https://doi.org/10.1016/j.tra.2017.08.013" TargetMode="External"/><Relationship Id="rId6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yperlink" Target="https://doi.org/10.1108/SAJBS-03-2021-0088" TargetMode="External"/><Relationship Id="rId14" Type="http://schemas.openxmlformats.org/officeDocument/2006/relationships/hyperlink" Target="https://doi.org/10.1108/SAJBS-03-2021-0088" TargetMode="External"/><Relationship Id="rId22" Type="http://schemas.openxmlformats.org/officeDocument/2006/relationships/hyperlink" Target="https://doi.org/10.1016/j.jclepro.2021.129638" TargetMode="External"/><Relationship Id="rId27" Type="http://schemas.openxmlformats.org/officeDocument/2006/relationships/hyperlink" Target="https://www.scriptwarp.com/warppls/UserManual_v_7_0.pdf" TargetMode="External"/><Relationship Id="rId30" Type="http://schemas.openxmlformats.org/officeDocument/2006/relationships/hyperlink" Target="https://www.researchgate.net/profile/Silke-Muehlmeier?_tp=eyJjb250ZXh0Ijp7ImZpcnN0UGFnZSI6InB1YmxpY2F0aW9uIiwicGFnZSI6InB1YmxpY2F0aW9uIn19" TargetMode="External"/><Relationship Id="rId35" Type="http://schemas.openxmlformats.org/officeDocument/2006/relationships/hyperlink" Target="http://ejournal.upi.edu/index.php/aset/" TargetMode="External"/><Relationship Id="rId43" Type="http://schemas.openxmlformats.org/officeDocument/2006/relationships/hyperlink" Target="https://doi.org/10.3390/wevj11020035" TargetMode="External"/><Relationship Id="rId48" Type="http://schemas.openxmlformats.org/officeDocument/2006/relationships/hyperlink" Target="http://dx.doi.org/10.1108/SRJ-06-2021-0220" TargetMode="External"/><Relationship Id="rId56" Type="http://schemas.openxmlformats.org/officeDocument/2006/relationships/hyperlink" Target="https://doi.org/10.1016/j.enpol.2023.113732" TargetMode="External"/><Relationship Id="rId64" Type="http://schemas.openxmlformats.org/officeDocument/2006/relationships/theme" Target="theme/theme1.xml"/><Relationship Id="rId8" Type="http://schemas.openxmlformats.org/officeDocument/2006/relationships/hyperlink" Target="https://doi.org/10.1108/SAJBS-03-2021-0088" TargetMode="External"/><Relationship Id="rId51" Type="http://schemas.openxmlformats.org/officeDocument/2006/relationships/hyperlink" Target="http://dx.doi.org/10.1108/SRJ-06-2021-0220" TargetMode="External"/><Relationship Id="rId3" Type="http://schemas.openxmlformats.org/officeDocument/2006/relationships/webSettings" Target="webSettings.xml"/><Relationship Id="rId12" Type="http://schemas.openxmlformats.org/officeDocument/2006/relationships/hyperlink" Target="https://doi.org/10.1108/SAJBS-03-2021-0088" TargetMode="External"/><Relationship Id="rId17" Type="http://schemas.openxmlformats.org/officeDocument/2006/relationships/hyperlink" Target="https://doi.org/10.1016/j.jretconser.2016.07.006" TargetMode="External"/><Relationship Id="rId25" Type="http://schemas.openxmlformats.org/officeDocument/2006/relationships/hyperlink" Target="https://doi.org/10.1016/j.foodres.2019.02.018" TargetMode="External"/><Relationship Id="rId33" Type="http://schemas.openxmlformats.org/officeDocument/2006/relationships/hyperlink" Target="https://doi.org/10.1016/j.trd.2010.12.001" TargetMode="External"/><Relationship Id="rId38" Type="http://schemas.openxmlformats.org/officeDocument/2006/relationships/hyperlink" Target="https://doi.org/10.1016/j.clrc.2022.100065" TargetMode="External"/><Relationship Id="rId46" Type="http://schemas.openxmlformats.org/officeDocument/2006/relationships/hyperlink" Target="http://dx.doi.org/10.1108/SRJ-06-2021-0220" TargetMode="External"/><Relationship Id="rId59" Type="http://schemas.openxmlformats.org/officeDocument/2006/relationships/hyperlink" Target="https://doi.org/10.1016/j.jclepro.2018.04.25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13</Pages>
  <Words>4422</Words>
  <Characters>25208</Characters>
  <Application>Microsoft Office Word</Application>
  <DocSecurity>0</DocSecurity>
  <Lines>210</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PERPUS-FX</dc:creator>
  <cp:keywords/>
  <cp:lastModifiedBy>PERPUS-FX</cp:lastModifiedBy>
  <cp:revision>5</cp:revision>
  <dcterms:created xsi:type="dcterms:W3CDTF">2026-04-14T02:52:00Z</dcterms:created>
  <dcterms:modified xsi:type="dcterms:W3CDTF">2026-04-14T03:19:00Z</dcterms:modified>
</cp:coreProperties>
</file>